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5"/>
        <w:gridCol w:w="5178"/>
        <w:gridCol w:w="216"/>
        <w:gridCol w:w="216"/>
        <w:gridCol w:w="389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655E07A" w:rsidR="00093CA9" w:rsidRDefault="001F1C1D" w:rsidP="00440DB8">
            <w:pPr>
              <w:jc w:val="both"/>
            </w:pPr>
            <w:r w:rsidRPr="001F1C1D">
              <w:t xml:space="preserve">Minister of Energy and Mineral Resources </w:t>
            </w:r>
            <w:r w:rsidR="001F7283">
              <w:t>(“</w:t>
            </w:r>
            <w:r w:rsidR="001F7283" w:rsidRPr="001F7283">
              <w:rPr>
                <w:b/>
                <w:bCs/>
              </w:rPr>
              <w:t>MEMR</w:t>
            </w:r>
            <w:r w:rsidR="001F7283">
              <w:t xml:space="preserve">”) </w:t>
            </w:r>
            <w:r w:rsidRPr="001F1C1D">
              <w:t>Regulation No. 10 of 2025 regarding the Road Map for the Energy Transition in the Power/Electricity Sector</w:t>
            </w:r>
            <w:r w:rsidR="00440DB8">
              <w:t xml:space="preserve"> (</w:t>
            </w:r>
            <w:proofErr w:type="spellStart"/>
            <w:r w:rsidR="00440DB8" w:rsidRPr="00440DB8">
              <w:rPr>
                <w:i/>
                <w:iCs/>
              </w:rPr>
              <w:t>Peraturan</w:t>
            </w:r>
            <w:proofErr w:type="spellEnd"/>
            <w:r w:rsidR="00440DB8" w:rsidRPr="00440DB8">
              <w:rPr>
                <w:i/>
                <w:iCs/>
              </w:rPr>
              <w:t xml:space="preserve"> Menteri Energi dan </w:t>
            </w:r>
            <w:proofErr w:type="spellStart"/>
            <w:r w:rsidR="00440DB8" w:rsidRPr="00440DB8">
              <w:rPr>
                <w:i/>
                <w:iCs/>
              </w:rPr>
              <w:t>Sumber</w:t>
            </w:r>
            <w:proofErr w:type="spellEnd"/>
            <w:r w:rsidR="00440DB8" w:rsidRPr="00440DB8">
              <w:rPr>
                <w:i/>
                <w:iCs/>
              </w:rPr>
              <w:t xml:space="preserve"> Daya Mineral </w:t>
            </w:r>
            <w:proofErr w:type="spellStart"/>
            <w:r w:rsidR="00440DB8" w:rsidRPr="00440DB8">
              <w:rPr>
                <w:i/>
                <w:iCs/>
              </w:rPr>
              <w:t>Nomor</w:t>
            </w:r>
            <w:proofErr w:type="spellEnd"/>
            <w:r w:rsidR="00440DB8" w:rsidRPr="00440DB8">
              <w:rPr>
                <w:i/>
                <w:iCs/>
              </w:rPr>
              <w:t xml:space="preserve"> 10 </w:t>
            </w:r>
            <w:proofErr w:type="spellStart"/>
            <w:r w:rsidR="00440DB8" w:rsidRPr="00440DB8">
              <w:rPr>
                <w:i/>
                <w:iCs/>
              </w:rPr>
              <w:t>Tahun</w:t>
            </w:r>
            <w:proofErr w:type="spellEnd"/>
            <w:r w:rsidR="00440DB8" w:rsidRPr="00440DB8">
              <w:rPr>
                <w:i/>
                <w:iCs/>
              </w:rPr>
              <w:t xml:space="preserve"> 2025 </w:t>
            </w:r>
            <w:proofErr w:type="spellStart"/>
            <w:r w:rsidR="00440DB8" w:rsidRPr="00440DB8">
              <w:rPr>
                <w:i/>
                <w:iCs/>
              </w:rPr>
              <w:t>tentang</w:t>
            </w:r>
            <w:proofErr w:type="spellEnd"/>
            <w:r w:rsidR="00440DB8" w:rsidRPr="00440DB8">
              <w:rPr>
                <w:i/>
                <w:iCs/>
              </w:rPr>
              <w:t xml:space="preserve"> Peta Jalan [Road Map] </w:t>
            </w:r>
            <w:proofErr w:type="spellStart"/>
            <w:r w:rsidR="00440DB8" w:rsidRPr="00440DB8">
              <w:rPr>
                <w:i/>
                <w:iCs/>
              </w:rPr>
              <w:t>Transisi</w:t>
            </w:r>
            <w:proofErr w:type="spellEnd"/>
            <w:r w:rsidR="00440DB8" w:rsidRPr="00440DB8">
              <w:rPr>
                <w:i/>
                <w:iCs/>
              </w:rPr>
              <w:t xml:space="preserve"> Energi Sektor </w:t>
            </w:r>
            <w:proofErr w:type="spellStart"/>
            <w:r w:rsidR="00440DB8" w:rsidRPr="00440DB8">
              <w:rPr>
                <w:i/>
                <w:iCs/>
              </w:rPr>
              <w:t>Ketenagalistrikan</w:t>
            </w:r>
            <w:proofErr w:type="spellEnd"/>
            <w:r w:rsidR="00440DB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3B1FC8D" w:rsidR="00093CA9" w:rsidRDefault="001F7283" w:rsidP="00093CA9">
            <w:hyperlink r:id="rId17" w:history="1">
              <w:r w:rsidRPr="00755648">
                <w:rPr>
                  <w:rStyle w:val="Hyperlink"/>
                </w:rPr>
                <w:t>https://web.archive.org/web/20250705123540/https://peraturan.bpk.go.id/Details/317729/permen-esdm-no-10-tahun-2025</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63CD887" w:rsidR="00093CA9" w:rsidRDefault="00E112B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4B98F1"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2EEEB5E1" w14:textId="77777777" w:rsidR="00093CA9" w:rsidRDefault="001F7283" w:rsidP="001F7283">
            <w:pPr>
              <w:jc w:val="both"/>
            </w:pPr>
            <w:r>
              <w:t>The policy tool set out guidelines on the implementation of the energy transition roadmap for the electric power sector in support of achieving the net-zero greenhouse gas emissions (“</w:t>
            </w:r>
            <w:r w:rsidRPr="001F7283">
              <w:rPr>
                <w:b/>
                <w:bCs/>
              </w:rPr>
              <w:t>GHG</w:t>
            </w:r>
            <w:r>
              <w:t xml:space="preserve">”) targets. </w:t>
            </w:r>
          </w:p>
          <w:p w14:paraId="18257824" w14:textId="08FD27F0" w:rsidR="001F7283" w:rsidRDefault="001F7283" w:rsidP="001F7283">
            <w:pPr>
              <w:jc w:val="both"/>
            </w:pPr>
            <w:r>
              <w:t xml:space="preserve">Notably, this regulation is intended to reduce reliance on energy derived from fossil fuels and to instead transition to new and renewable energy sources in accordance with the mandate contained under Presidential Regulation No. 112 of 2022 regarding </w:t>
            </w:r>
            <w:r w:rsidRPr="001F7283">
              <w:t>the Acceleration of Renewable Energy Development for the Supply of Electricity</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2F1E432" w:rsidR="00093CA9" w:rsidRDefault="001F728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D262B11"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183A04E" w:rsidR="00093CA9" w:rsidRPr="00173D7C" w:rsidRDefault="001F7283" w:rsidP="00093CA9">
            <w:pPr>
              <w:rPr>
                <w:color w:val="000000" w:themeColor="text1"/>
              </w:rPr>
            </w:pPr>
            <w:r>
              <w:t>April 15 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C4ED9B4"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5802C6E0"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D945C35"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10146C1" w:rsidR="00093CA9" w:rsidRDefault="001F7283" w:rsidP="00093CA9">
            <w:r>
              <w:t>MEMR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4075CFE" w:rsidR="00093CA9" w:rsidRPr="006B7B0D" w:rsidRDefault="001F7283" w:rsidP="00093CA9">
            <w:r>
              <w:t>MEMR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554E4D4" w:rsidR="00093CA9" w:rsidRPr="006B7B0D" w:rsidRDefault="00EC0C85"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8B2FB0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2FEF66E0" w:rsidR="00093CA9" w:rsidRPr="000C0665" w:rsidRDefault="00D50484" w:rsidP="00D50484">
            <w:pPr>
              <w:jc w:val="both"/>
            </w:pPr>
            <w:r>
              <w:t>While the implementation of this regulation could be seen as a step in the right direction to ensure the transition to renewable energy power plan</w:t>
            </w:r>
            <w:r w:rsidR="0054787C">
              <w:t>t</w:t>
            </w:r>
            <w:r>
              <w:t xml:space="preserve">s in Indonesia, certain parties have expressed doubts and criticisms on the provisions of the policy tool given the absence of strict imperative language alongside other policy </w:t>
            </w:r>
            <w:r w:rsidR="0054787C">
              <w:t>concerns</w:t>
            </w:r>
            <w:r w:rsidR="003B5947">
              <w:t>, including a particular reliance of funding support</w:t>
            </w:r>
            <w: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F952C66" w:rsidR="00093CA9" w:rsidRDefault="0019586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72F2CC1" w:rsidR="00093CA9" w:rsidRPr="008017F9" w:rsidRDefault="00195861" w:rsidP="000C0665">
            <w:pPr>
              <w:keepNext/>
              <w:jc w:val="both"/>
              <w:rPr>
                <w:color w:val="000000" w:themeColor="text1"/>
              </w:rPr>
            </w:pPr>
            <w:r>
              <w:rPr>
                <w:color w:val="000000" w:themeColor="text1"/>
              </w:rPr>
              <w:t xml:space="preserve">Article 17 of the policy tool </w:t>
            </w:r>
            <w:r w:rsidR="000C0665">
              <w:rPr>
                <w:color w:val="000000" w:themeColor="text1"/>
              </w:rPr>
              <w:t xml:space="preserve">notes that the MEMR shall conduct an evaluation on the acceleration of </w:t>
            </w:r>
            <w:r w:rsidR="0054787C">
              <w:rPr>
                <w:color w:val="000000" w:themeColor="text1"/>
              </w:rPr>
              <w:t xml:space="preserve">coal-fired </w:t>
            </w:r>
            <w:r w:rsidR="000C0665">
              <w:rPr>
                <w:color w:val="000000" w:themeColor="text1"/>
              </w:rPr>
              <w:t xml:space="preserve">power plant phase out. Such evaluation shall be conducted by </w:t>
            </w:r>
            <w:r w:rsidR="00297E55">
              <w:rPr>
                <w:color w:val="000000" w:themeColor="text1"/>
              </w:rPr>
              <w:t xml:space="preserve">the stakeholder funding the operation as well as </w:t>
            </w:r>
            <w:r w:rsidR="000C0665">
              <w:rPr>
                <w:color w:val="000000" w:themeColor="text1"/>
              </w:rPr>
              <w:t xml:space="preserve">a joint team consisting of a governmental representative, the regional government, academics and </w:t>
            </w:r>
            <w:r w:rsidR="000C0665" w:rsidRPr="003B738B">
              <w:rPr>
                <w:i/>
                <w:iCs/>
                <w:color w:val="000000" w:themeColor="text1"/>
              </w:rPr>
              <w:t>PT P</w:t>
            </w:r>
            <w:r w:rsidR="003B738B" w:rsidRPr="003B738B">
              <w:rPr>
                <w:i/>
                <w:iCs/>
                <w:color w:val="000000" w:themeColor="text1"/>
              </w:rPr>
              <w:t xml:space="preserve">erusahaan </w:t>
            </w:r>
            <w:r w:rsidR="000C0665" w:rsidRPr="003B738B">
              <w:rPr>
                <w:i/>
                <w:iCs/>
                <w:color w:val="000000" w:themeColor="text1"/>
              </w:rPr>
              <w:t>L</w:t>
            </w:r>
            <w:r w:rsidR="003B738B" w:rsidRPr="003B738B">
              <w:rPr>
                <w:i/>
                <w:iCs/>
                <w:color w:val="000000" w:themeColor="text1"/>
              </w:rPr>
              <w:t xml:space="preserve">istrik </w:t>
            </w:r>
            <w:r w:rsidR="000C0665" w:rsidRPr="003B738B">
              <w:rPr>
                <w:i/>
                <w:iCs/>
                <w:color w:val="000000" w:themeColor="text1"/>
              </w:rPr>
              <w:t>N</w:t>
            </w:r>
            <w:r w:rsidR="003B738B" w:rsidRPr="003B738B">
              <w:rPr>
                <w:i/>
                <w:iCs/>
                <w:color w:val="000000" w:themeColor="text1"/>
              </w:rPr>
              <w:t>egara</w:t>
            </w:r>
            <w:r w:rsidR="000C0665" w:rsidRPr="003B738B">
              <w:rPr>
                <w:i/>
                <w:iCs/>
                <w:color w:val="000000" w:themeColor="text1"/>
              </w:rPr>
              <w:t xml:space="preserve"> Persero</w:t>
            </w:r>
            <w:r w:rsidR="003B738B">
              <w:rPr>
                <w:color w:val="000000" w:themeColor="text1"/>
              </w:rPr>
              <w:t xml:space="preserve"> (“</w:t>
            </w:r>
            <w:r w:rsidR="003B738B" w:rsidRPr="003B738B">
              <w:rPr>
                <w:b/>
                <w:bCs/>
                <w:color w:val="000000" w:themeColor="text1"/>
              </w:rPr>
              <w:t>PT PLN</w:t>
            </w:r>
            <w:r w:rsidR="003B738B">
              <w:rPr>
                <w:color w:val="000000" w:themeColor="text1"/>
              </w:rPr>
              <w:t>”)</w:t>
            </w:r>
            <w:r w:rsidR="000C0665">
              <w:rPr>
                <w:color w:val="000000" w:themeColor="text1"/>
              </w:rPr>
              <w:t xml:space="preserve">; the latter being a state-owned company </w:t>
            </w:r>
            <w:r w:rsidR="00297E55">
              <w:rPr>
                <w:color w:val="000000" w:themeColor="text1"/>
              </w:rPr>
              <w:t>which runs a monopoly on the domestic electric power market</w:t>
            </w:r>
            <w:r w:rsidR="000C0665">
              <w:rPr>
                <w:color w:val="000000" w:themeColor="text1"/>
              </w:rPr>
              <w:t>.</w:t>
            </w:r>
            <w:r w:rsidR="00297E55">
              <w:rPr>
                <w:color w:val="000000" w:themeColor="text1"/>
              </w:rPr>
              <w:t xml:space="preserve"> Depending on the outcome of the evaluation, further funding could be provided should additional funds be required.</w:t>
            </w:r>
            <w:r w:rsidR="000C0665">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4C535C8" w:rsidR="00C4670C" w:rsidRPr="00C37D48" w:rsidRDefault="00D50484"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CAD19B6" w:rsidR="00C4670C" w:rsidRPr="00C37D48" w:rsidRDefault="00D50484"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A3E7B0D"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48B2F397" w:rsidR="004F276F" w:rsidRPr="00C37D48" w:rsidRDefault="00D50484"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1BEFB664" w14:textId="77777777" w:rsidR="004F276F" w:rsidRDefault="003B738B" w:rsidP="00C37D48">
            <w:pPr>
              <w:rPr>
                <w:rFonts w:ascii="Calibri" w:hAnsi="Calibri" w:cs="Calibri"/>
              </w:rPr>
            </w:pPr>
            <w:r>
              <w:rPr>
                <w:rFonts w:ascii="Calibri" w:hAnsi="Calibri" w:cs="Calibri"/>
              </w:rPr>
              <w:t>The obligations ascribed differ from one targeted entity to another. Such distinction can be summarized as the following:</w:t>
            </w:r>
          </w:p>
          <w:p w14:paraId="3A8231E8" w14:textId="53594BDD" w:rsidR="002E0CA2" w:rsidRDefault="003B738B" w:rsidP="0054787C">
            <w:pPr>
              <w:pStyle w:val="ListParagraph"/>
              <w:numPr>
                <w:ilvl w:val="0"/>
                <w:numId w:val="49"/>
              </w:numPr>
              <w:jc w:val="both"/>
              <w:rPr>
                <w:rFonts w:ascii="Calibri" w:hAnsi="Calibri" w:cs="Calibri"/>
              </w:rPr>
            </w:pPr>
            <w:r>
              <w:rPr>
                <w:rFonts w:ascii="Calibri" w:hAnsi="Calibri" w:cs="Calibri"/>
              </w:rPr>
              <w:t xml:space="preserve">State-owned Companies: PT PLN </w:t>
            </w:r>
            <w:r w:rsidR="0054787C">
              <w:rPr>
                <w:rFonts w:ascii="Calibri" w:hAnsi="Calibri" w:cs="Calibri"/>
              </w:rPr>
              <w:t xml:space="preserve">is required to assist in accelerating the phase out of coal-fired power plants. </w:t>
            </w:r>
            <w:r w:rsidR="002E0CA2">
              <w:rPr>
                <w:rFonts w:ascii="Calibri" w:hAnsi="Calibri" w:cs="Calibri"/>
              </w:rPr>
              <w:t>For instance, PT PLN is tasked with preparing a study for the acceleration of coal-fired power plant phase out following instructions from the MEMR.</w:t>
            </w:r>
            <w:r w:rsidR="002E0CA2">
              <w:rPr>
                <w:rStyle w:val="FootnoteReference"/>
                <w:rFonts w:ascii="Calibri" w:hAnsi="Calibri" w:cs="Calibri"/>
              </w:rPr>
              <w:footnoteReference w:id="2"/>
            </w:r>
            <w:r w:rsidR="002E0CA2">
              <w:rPr>
                <w:rFonts w:ascii="Calibri" w:hAnsi="Calibri" w:cs="Calibri"/>
              </w:rPr>
              <w:t xml:space="preserve"> It shall also be involved in conducting the phase out of coal-fired power plants which have been selected (i.e., procurement and/or construction of replacement power plants, construction and/or improvement of the electricity system and smart gird infrastructure, etc).</w:t>
            </w:r>
            <w:r w:rsidR="002E0CA2">
              <w:rPr>
                <w:rStyle w:val="FootnoteReference"/>
                <w:rFonts w:ascii="Calibri" w:hAnsi="Calibri" w:cs="Calibri"/>
              </w:rPr>
              <w:footnoteReference w:id="3"/>
            </w:r>
            <w:r w:rsidR="002E0CA2">
              <w:rPr>
                <w:rFonts w:ascii="Calibri" w:hAnsi="Calibri" w:cs="Calibri"/>
              </w:rPr>
              <w:t xml:space="preserve"> As part of the joint team established to supervise the accelerated phase-out of coal fired-power plants, PT PLN shall be responsible for various evaluations on the implementation of the policies envisioned under the policy tool.</w:t>
            </w:r>
            <w:r w:rsidR="002E0CA2">
              <w:rPr>
                <w:rStyle w:val="FootnoteReference"/>
                <w:rFonts w:ascii="Calibri" w:hAnsi="Calibri" w:cs="Calibri"/>
              </w:rPr>
              <w:footnoteReference w:id="4"/>
            </w:r>
          </w:p>
          <w:p w14:paraId="669BE776" w14:textId="77777777" w:rsidR="00EF3663" w:rsidRDefault="00EF3663" w:rsidP="00EF3663">
            <w:pPr>
              <w:pStyle w:val="ListParagraph"/>
              <w:jc w:val="both"/>
              <w:rPr>
                <w:rFonts w:ascii="Calibri" w:hAnsi="Calibri" w:cs="Calibri"/>
              </w:rPr>
            </w:pPr>
          </w:p>
          <w:p w14:paraId="41EA3B18" w14:textId="0E009B0D" w:rsidR="003B738B" w:rsidRPr="0084488A" w:rsidRDefault="003B738B" w:rsidP="00EF3663">
            <w:pPr>
              <w:pStyle w:val="ListParagraph"/>
              <w:numPr>
                <w:ilvl w:val="0"/>
                <w:numId w:val="49"/>
              </w:numPr>
              <w:jc w:val="both"/>
              <w:rPr>
                <w:rFonts w:ascii="Calibri" w:hAnsi="Calibri" w:cs="Calibri"/>
              </w:rPr>
            </w:pPr>
            <w:r w:rsidRPr="00C37D48">
              <w:rPr>
                <w:rFonts w:ascii="Calibri" w:hAnsi="Calibri" w:cs="Calibri"/>
              </w:rPr>
              <w:t>Government agencies and/or departments (national)</w:t>
            </w:r>
            <w:r w:rsidR="002E0CA2">
              <w:rPr>
                <w:rFonts w:ascii="Calibri" w:hAnsi="Calibri" w:cs="Calibri"/>
              </w:rPr>
              <w:t xml:space="preserve">: </w:t>
            </w:r>
            <w:r w:rsidR="0084488A">
              <w:rPr>
                <w:rFonts w:ascii="Calibri" w:hAnsi="Calibri" w:cs="Calibri"/>
              </w:rPr>
              <w:t>Various ministers are assigned certain roles in relation to the acceleration of the coal-fired power plant phase-out. For instance, the MEMR is responsible for assigning specific duties to PT PLN in implementing the phase-out acceleration discussed above.</w:t>
            </w:r>
            <w:r w:rsidR="0084488A">
              <w:rPr>
                <w:rStyle w:val="FootnoteReference"/>
                <w:rFonts w:ascii="Calibri" w:hAnsi="Calibri" w:cs="Calibri"/>
              </w:rPr>
              <w:footnoteReference w:id="5"/>
            </w:r>
            <w:r w:rsidR="0084488A">
              <w:rPr>
                <w:rFonts w:ascii="Calibri" w:hAnsi="Calibri" w:cs="Calibri"/>
              </w:rPr>
              <w:t xml:space="preserve"> </w:t>
            </w:r>
            <w:r w:rsidR="0084488A" w:rsidRPr="0084488A">
              <w:rPr>
                <w:rFonts w:ascii="Calibri" w:hAnsi="Calibri" w:cs="Calibri"/>
              </w:rPr>
              <w:t xml:space="preserve">In addition </w:t>
            </w:r>
            <w:r w:rsidR="0084488A">
              <w:rPr>
                <w:rFonts w:ascii="Calibri" w:hAnsi="Calibri" w:cs="Calibri"/>
              </w:rPr>
              <w:t>to the obligation to evaluate the implementation of the phase-out acceleration, the MEMR is responsible for considering and selecting which coal-fired power plants which shall be subjected to the accelerated phase-out. Such decision shall be made after consideration with the Minister of State-Owned Enterprises and the Minister of Finance.</w:t>
            </w:r>
            <w:r w:rsidR="0084488A">
              <w:rPr>
                <w:rStyle w:val="FootnoteReference"/>
                <w:rFonts w:ascii="Calibri" w:hAnsi="Calibri" w:cs="Calibri"/>
              </w:rPr>
              <w:footnoteReference w:id="6"/>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51BEACBB"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1AF558A1"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5155D208"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646769ED"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6E578DF3"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5DE7C7E9" w:rsidR="004F276F" w:rsidRPr="00C37D48" w:rsidRDefault="00996928" w:rsidP="00996928">
            <w:pPr>
              <w:jc w:val="both"/>
              <w:rPr>
                <w:rFonts w:ascii="Calibri" w:hAnsi="Calibri" w:cs="Calibri"/>
              </w:rPr>
            </w:pPr>
            <w:r>
              <w:rPr>
                <w:rFonts w:ascii="Calibri" w:hAnsi="Calibri" w:cs="Calibri"/>
              </w:rPr>
              <w:t>The policy tool applies to specific parties as expressly mentioned under the text of the policy tool.</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FED1B1A" w:rsidR="004F276F" w:rsidRPr="00C37D48" w:rsidRDefault="00996928"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2FED8FDA"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739D06C" w:rsidR="004F276F" w:rsidRPr="00C37D48" w:rsidRDefault="00933FD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6CD337F6"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69F3ECDA"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47B45950"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lastRenderedPageBreak/>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6C0EA291" w:rsidR="001F30DE" w:rsidRPr="0090261C" w:rsidRDefault="0090261C" w:rsidP="00C37D48">
            <w:pPr>
              <w:rPr>
                <w:rFonts w:ascii="Calibri" w:hAnsi="Calibri" w:cs="Calibri"/>
              </w:rPr>
            </w:pPr>
            <w:r w:rsidRPr="0090261C">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5C85B85B" w14:textId="77777777" w:rsidR="0090261C" w:rsidRDefault="0090261C" w:rsidP="00C37D48">
            <w:pPr>
              <w:rPr>
                <w:rFonts w:ascii="Calibri" w:hAnsi="Calibri" w:cs="Calibri"/>
              </w:rPr>
            </w:pPr>
            <w:r>
              <w:rPr>
                <w:rFonts w:ascii="Calibri" w:hAnsi="Calibri" w:cs="Calibri"/>
              </w:rPr>
              <w:t>The MEMR has announced the accelerated phase-out of the Cirebon I Coal-Fired Power Plant pursuant to the provisions of this policy tool.</w:t>
            </w:r>
          </w:p>
          <w:p w14:paraId="0CD89C5A" w14:textId="2F53A52C" w:rsidR="001F30DE" w:rsidRPr="00C37D48" w:rsidRDefault="0090261C" w:rsidP="0090261C">
            <w:pPr>
              <w:jc w:val="both"/>
              <w:rPr>
                <w:rFonts w:ascii="Calibri" w:hAnsi="Calibri" w:cs="Calibri"/>
              </w:rPr>
            </w:pPr>
            <w:r>
              <w:rPr>
                <w:rFonts w:ascii="Calibri" w:hAnsi="Calibri" w:cs="Calibri"/>
              </w:rPr>
              <w:t>(</w:t>
            </w:r>
            <w:hyperlink r:id="rId18" w:history="1">
              <w:r w:rsidRPr="00755648">
                <w:rPr>
                  <w:rStyle w:val="Hyperlink"/>
                  <w:rFonts w:ascii="Calibri" w:hAnsi="Calibri" w:cs="Calibri"/>
                </w:rPr>
                <w:t>https://listrikindonesia.com/detail/16353/sah-menteri-esdm-teken-pensiun-dini-pltu-cirebon-i</w:t>
              </w:r>
            </w:hyperlink>
            <w:r>
              <w:rPr>
                <w:rFonts w:ascii="Calibri" w:hAnsi="Calibri" w:cs="Calibri"/>
              </w:rP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0EE4DEE6" w:rsidR="001F30DE" w:rsidRPr="00C37D48" w:rsidRDefault="0084488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E16D9C4"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11769594" w:rsidR="004F48E8" w:rsidRPr="00C37D48" w:rsidRDefault="00A9122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1A29F11F" w:rsidR="000A1365" w:rsidRPr="00C37D48" w:rsidRDefault="0090261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1340D541" w:rsidR="00D27551" w:rsidRPr="00C37D48" w:rsidRDefault="0090261C" w:rsidP="00C37D48">
            <w:pPr>
              <w:rPr>
                <w:rFonts w:ascii="Calibri" w:hAnsi="Calibri" w:cs="Calibri"/>
              </w:rPr>
            </w:pPr>
            <w:r>
              <w:rPr>
                <w:rFonts w:ascii="Calibri" w:hAnsi="Calibri" w:cs="Calibri"/>
              </w:rPr>
              <w:t xml:space="preserve">No.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5D286D4C" w:rsidR="00850F36" w:rsidRPr="00C37D48" w:rsidRDefault="000437B7"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22060CDE" w:rsidR="00850F36" w:rsidRPr="00C37D48" w:rsidRDefault="000437B7"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335B80EA" w:rsidR="00850F36" w:rsidRPr="00C37D48" w:rsidRDefault="0090261C" w:rsidP="00C37D48">
            <w:pPr>
              <w:rPr>
                <w:rFonts w:ascii="Calibri" w:hAnsi="Calibri" w:cs="Calibri"/>
              </w:rPr>
            </w:pPr>
            <w:r>
              <w:rPr>
                <w:rFonts w:ascii="Calibri" w:hAnsi="Calibri" w:cs="Calibri"/>
              </w:rPr>
              <w:t>X</w:t>
            </w: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5AFC669" w:rsidR="00850F36" w:rsidRPr="00C37D48" w:rsidRDefault="0090261C"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3D9C7135" w:rsidR="00850F36" w:rsidRPr="00C37D48" w:rsidRDefault="0090261C"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39A5E84C" w:rsidR="00850F36" w:rsidRPr="00C37D48" w:rsidRDefault="0090261C" w:rsidP="00C37D48">
            <w:pP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5F8B14C5" w:rsidR="00850F36" w:rsidRPr="00C37D48" w:rsidRDefault="00850F36" w:rsidP="00C37D48">
            <w:pPr>
              <w:rPr>
                <w:rFonts w:ascii="Calibri" w:hAnsi="Calibri" w:cs="Calibri"/>
              </w:rPr>
            </w:pPr>
          </w:p>
        </w:tc>
        <w:tc>
          <w:tcPr>
            <w:tcW w:w="1334" w:type="dxa"/>
            <w:vAlign w:val="center"/>
          </w:tcPr>
          <w:p w14:paraId="165727EB" w14:textId="75A8BC6E" w:rsidR="00850F36" w:rsidRPr="00C37D48" w:rsidRDefault="00F8546F"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6551B342" w:rsidR="00850F36" w:rsidRPr="00C37D48" w:rsidRDefault="00850F36" w:rsidP="00C37D48">
            <w:pPr>
              <w:rPr>
                <w:rFonts w:ascii="Calibri" w:hAnsi="Calibri" w:cs="Calibri"/>
              </w:rPr>
            </w:pPr>
          </w:p>
        </w:tc>
        <w:tc>
          <w:tcPr>
            <w:tcW w:w="1334" w:type="dxa"/>
            <w:vAlign w:val="center"/>
          </w:tcPr>
          <w:p w14:paraId="50514BAB" w14:textId="0A56C904" w:rsidR="00850F36" w:rsidRPr="00C37D48" w:rsidRDefault="00F8546F"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1AE77C68" w:rsidR="00850F36" w:rsidRPr="00C37D48" w:rsidRDefault="0090261C"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72F5F5D7" w:rsidR="00850F36" w:rsidRPr="00C37D48" w:rsidRDefault="000437B7"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0E53543" w:rsidR="00850F36" w:rsidRPr="00C37D48" w:rsidRDefault="000437B7"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2EDC2F1F" w:rsidR="00850F36" w:rsidRPr="00C37D48" w:rsidRDefault="00850F36" w:rsidP="00C37D48">
            <w:pPr>
              <w:rPr>
                <w:rFonts w:ascii="Calibri" w:hAnsi="Calibri" w:cs="Calibri"/>
              </w:rPr>
            </w:pPr>
          </w:p>
        </w:tc>
        <w:tc>
          <w:tcPr>
            <w:tcW w:w="1456" w:type="dxa"/>
            <w:vAlign w:val="center"/>
          </w:tcPr>
          <w:p w14:paraId="3475209D" w14:textId="313205E4" w:rsidR="00850F36" w:rsidRPr="00C37D48" w:rsidRDefault="00850F36" w:rsidP="00C37D48">
            <w:pPr>
              <w:rPr>
                <w:rFonts w:ascii="Calibri" w:hAnsi="Calibri" w:cs="Calibri"/>
              </w:rPr>
            </w:pPr>
          </w:p>
        </w:tc>
        <w:tc>
          <w:tcPr>
            <w:tcW w:w="1334" w:type="dxa"/>
            <w:vAlign w:val="center"/>
          </w:tcPr>
          <w:p w14:paraId="0C710500" w14:textId="6718DC69" w:rsidR="00850F36" w:rsidRPr="00C37D48" w:rsidRDefault="007015D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2F3768AD" w:rsidR="00850F36" w:rsidRPr="00C37D48" w:rsidRDefault="000437B7"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1224AB2" w14:textId="77777777" w:rsidR="00D9431B" w:rsidRDefault="00F8546F" w:rsidP="00F47209">
            <w:pPr>
              <w:jc w:val="both"/>
              <w:rPr>
                <w:rFonts w:ascii="Calibri" w:hAnsi="Calibri" w:cs="Calibri"/>
              </w:rPr>
            </w:pPr>
            <w:r>
              <w:rPr>
                <w:rFonts w:ascii="Calibri" w:hAnsi="Calibri" w:cs="Calibri"/>
              </w:rPr>
              <w:t xml:space="preserve">Instead of requiring the targeted entities to develop the targets named above, the policy tool already stipulate certain targets for the regulated entities to pursue. </w:t>
            </w:r>
            <w:r w:rsidR="00F47209">
              <w:rPr>
                <w:rFonts w:ascii="Calibri" w:hAnsi="Calibri" w:cs="Calibri"/>
              </w:rPr>
              <w:t xml:space="preserve">The express language of the Appendix to the policy tool only stipulates a net-zero emissions target for the electric power sector by 2060. </w:t>
            </w:r>
          </w:p>
          <w:p w14:paraId="2469C94C" w14:textId="288D475D" w:rsidR="00F47209" w:rsidRDefault="00F47209" w:rsidP="00F47209">
            <w:pPr>
              <w:jc w:val="both"/>
              <w:rPr>
                <w:rFonts w:ascii="Calibri" w:hAnsi="Calibri" w:cs="Calibri"/>
              </w:rPr>
            </w:pPr>
            <w:r>
              <w:rPr>
                <w:rFonts w:ascii="Calibri" w:hAnsi="Calibri" w:cs="Calibri"/>
              </w:rPr>
              <w:t xml:space="preserve">The </w:t>
            </w:r>
            <w:r w:rsidR="007015D9">
              <w:rPr>
                <w:rFonts w:ascii="Calibri" w:hAnsi="Calibri" w:cs="Calibri"/>
              </w:rPr>
              <w:t xml:space="preserve">acceleration in phasing-out coal-fired power plants is essential to reaching this net-zero goal. In this vein, the policy tool has identified an analytical hierarchy process approach in determining which coal-fired power plants shall be subject to an accelerated phase-out. Such methodology considers the following aspects and its corresponding value in the assessment: </w:t>
            </w:r>
          </w:p>
          <w:p w14:paraId="155E4D3E" w14:textId="64A8483B" w:rsidR="007015D9" w:rsidRDefault="007015D9" w:rsidP="007015D9">
            <w:pPr>
              <w:pStyle w:val="ListParagraph"/>
              <w:numPr>
                <w:ilvl w:val="0"/>
                <w:numId w:val="50"/>
              </w:numPr>
              <w:jc w:val="both"/>
              <w:rPr>
                <w:rFonts w:ascii="Calibri" w:hAnsi="Calibri" w:cs="Calibri"/>
              </w:rPr>
            </w:pPr>
            <w:r>
              <w:rPr>
                <w:rFonts w:ascii="Calibri" w:hAnsi="Calibri" w:cs="Calibri"/>
              </w:rPr>
              <w:t>Coal-fired power plant capacity worth 4.4%;</w:t>
            </w:r>
          </w:p>
          <w:p w14:paraId="0309B312" w14:textId="467257BD" w:rsidR="007015D9" w:rsidRDefault="007015D9" w:rsidP="007015D9">
            <w:pPr>
              <w:pStyle w:val="ListParagraph"/>
              <w:numPr>
                <w:ilvl w:val="0"/>
                <w:numId w:val="50"/>
              </w:numPr>
              <w:jc w:val="both"/>
              <w:rPr>
                <w:rFonts w:ascii="Calibri" w:hAnsi="Calibri" w:cs="Calibri"/>
              </w:rPr>
            </w:pPr>
            <w:r>
              <w:rPr>
                <w:rFonts w:ascii="Calibri" w:hAnsi="Calibri" w:cs="Calibri"/>
              </w:rPr>
              <w:t>Age of the power plant worth 4.4%;</w:t>
            </w:r>
          </w:p>
          <w:p w14:paraId="3C57A2C6" w14:textId="3E623261" w:rsidR="007015D9" w:rsidRDefault="007015D9" w:rsidP="007015D9">
            <w:pPr>
              <w:pStyle w:val="ListParagraph"/>
              <w:numPr>
                <w:ilvl w:val="0"/>
                <w:numId w:val="50"/>
              </w:numPr>
              <w:jc w:val="both"/>
              <w:rPr>
                <w:rFonts w:ascii="Calibri" w:hAnsi="Calibri" w:cs="Calibri"/>
              </w:rPr>
            </w:pPr>
            <w:r>
              <w:rPr>
                <w:rFonts w:ascii="Calibri" w:hAnsi="Calibri" w:cs="Calibri"/>
              </w:rPr>
              <w:t>Utilization (coal-fired power plant capacity factor) worth 5.2%;</w:t>
            </w:r>
          </w:p>
          <w:p w14:paraId="21AE8B2B" w14:textId="77777777" w:rsidR="007015D9" w:rsidRDefault="007015D9" w:rsidP="007015D9">
            <w:pPr>
              <w:pStyle w:val="ListParagraph"/>
              <w:numPr>
                <w:ilvl w:val="0"/>
                <w:numId w:val="50"/>
              </w:numPr>
              <w:jc w:val="both"/>
              <w:rPr>
                <w:rFonts w:ascii="Calibri" w:hAnsi="Calibri" w:cs="Calibri"/>
              </w:rPr>
            </w:pPr>
            <w:r>
              <w:rPr>
                <w:rFonts w:ascii="Calibri" w:hAnsi="Calibri" w:cs="Calibri"/>
              </w:rPr>
              <w:t>Availability of technological support worth 6.4%;</w:t>
            </w:r>
          </w:p>
          <w:p w14:paraId="7C51A664" w14:textId="77777777" w:rsidR="007015D9" w:rsidRDefault="007015D9" w:rsidP="007015D9">
            <w:pPr>
              <w:pStyle w:val="ListParagraph"/>
              <w:numPr>
                <w:ilvl w:val="0"/>
                <w:numId w:val="50"/>
              </w:numPr>
              <w:jc w:val="both"/>
              <w:rPr>
                <w:rFonts w:ascii="Calibri" w:hAnsi="Calibri" w:cs="Calibri"/>
              </w:rPr>
            </w:pPr>
            <w:r>
              <w:rPr>
                <w:rFonts w:ascii="Calibri" w:hAnsi="Calibri" w:cs="Calibri"/>
              </w:rPr>
              <w:t>GHG emissions of the coal-fired power plant worth 9.3%;</w:t>
            </w:r>
          </w:p>
          <w:p w14:paraId="0C21CF84" w14:textId="77777777" w:rsidR="007015D9" w:rsidRDefault="00CF319C" w:rsidP="007015D9">
            <w:pPr>
              <w:pStyle w:val="ListParagraph"/>
              <w:numPr>
                <w:ilvl w:val="0"/>
                <w:numId w:val="50"/>
              </w:numPr>
              <w:jc w:val="both"/>
              <w:rPr>
                <w:rFonts w:ascii="Calibri" w:hAnsi="Calibri" w:cs="Calibri"/>
              </w:rPr>
            </w:pPr>
            <w:r>
              <w:rPr>
                <w:rFonts w:ascii="Calibri" w:hAnsi="Calibri" w:cs="Calibri"/>
              </w:rPr>
              <w:t xml:space="preserve">Economic </w:t>
            </w:r>
            <w:r w:rsidR="007015D9">
              <w:rPr>
                <w:rFonts w:ascii="Calibri" w:hAnsi="Calibri" w:cs="Calibri"/>
              </w:rPr>
              <w:t>value added</w:t>
            </w:r>
            <w:r>
              <w:rPr>
                <w:rFonts w:ascii="Calibri" w:hAnsi="Calibri" w:cs="Calibri"/>
              </w:rPr>
              <w:t xml:space="preserve"> worth 9.8%</w:t>
            </w:r>
            <w:r w:rsidR="007015D9">
              <w:rPr>
                <w:rFonts w:ascii="Calibri" w:hAnsi="Calibri" w:cs="Calibri"/>
              </w:rPr>
              <w:t>;</w:t>
            </w:r>
          </w:p>
          <w:p w14:paraId="1A1D54E8" w14:textId="77777777" w:rsidR="00CF319C" w:rsidRDefault="00CF319C" w:rsidP="007015D9">
            <w:pPr>
              <w:pStyle w:val="ListParagraph"/>
              <w:numPr>
                <w:ilvl w:val="0"/>
                <w:numId w:val="50"/>
              </w:numPr>
              <w:jc w:val="both"/>
              <w:rPr>
                <w:rFonts w:ascii="Calibri" w:hAnsi="Calibri" w:cs="Calibri"/>
              </w:rPr>
            </w:pPr>
            <w:r>
              <w:rPr>
                <w:rFonts w:ascii="Calibri" w:hAnsi="Calibri" w:cs="Calibri"/>
              </w:rPr>
              <w:t>Availability of funding support worth 27.1%;</w:t>
            </w:r>
          </w:p>
          <w:p w14:paraId="11995670" w14:textId="5385828D" w:rsidR="00CF319C" w:rsidRDefault="00CF319C" w:rsidP="007015D9">
            <w:pPr>
              <w:pStyle w:val="ListParagraph"/>
              <w:numPr>
                <w:ilvl w:val="0"/>
                <w:numId w:val="50"/>
              </w:numPr>
              <w:jc w:val="both"/>
              <w:rPr>
                <w:rFonts w:ascii="Calibri" w:hAnsi="Calibri" w:cs="Calibri"/>
              </w:rPr>
            </w:pPr>
            <w:r>
              <w:rPr>
                <w:rFonts w:ascii="Calibri" w:hAnsi="Calibri" w:cs="Calibri"/>
              </w:rPr>
              <w:t>Reliability of the electricity system worth 13%;</w:t>
            </w:r>
          </w:p>
          <w:p w14:paraId="6F565E96" w14:textId="188DBFC4" w:rsidR="00CF319C" w:rsidRDefault="00CF319C" w:rsidP="00CF319C">
            <w:pPr>
              <w:pStyle w:val="ListParagraph"/>
              <w:numPr>
                <w:ilvl w:val="0"/>
                <w:numId w:val="50"/>
              </w:numPr>
              <w:jc w:val="both"/>
              <w:rPr>
                <w:rFonts w:ascii="Calibri" w:hAnsi="Calibri" w:cs="Calibri"/>
              </w:rPr>
            </w:pPr>
            <w:r w:rsidRPr="00CF319C">
              <w:rPr>
                <w:rFonts w:ascii="Calibri" w:hAnsi="Calibri" w:cs="Calibri"/>
              </w:rPr>
              <w:t xml:space="preserve">Impact of </w:t>
            </w:r>
            <w:r>
              <w:rPr>
                <w:rFonts w:ascii="Calibri" w:hAnsi="Calibri" w:cs="Calibri"/>
              </w:rPr>
              <w:t xml:space="preserve">an increase in </w:t>
            </w:r>
            <w:r w:rsidRPr="00CF319C">
              <w:rPr>
                <w:rFonts w:ascii="Calibri" w:hAnsi="Calibri" w:cs="Calibri"/>
              </w:rPr>
              <w:t xml:space="preserve">supply </w:t>
            </w:r>
            <w:r>
              <w:rPr>
                <w:rFonts w:ascii="Calibri" w:hAnsi="Calibri" w:cs="Calibri"/>
              </w:rPr>
              <w:t xml:space="preserve">costs </w:t>
            </w:r>
            <w:r w:rsidRPr="00CF319C">
              <w:rPr>
                <w:rFonts w:ascii="Calibri" w:hAnsi="Calibri" w:cs="Calibri"/>
              </w:rPr>
              <w:t>on</w:t>
            </w:r>
            <w:r>
              <w:rPr>
                <w:rFonts w:ascii="Calibri" w:hAnsi="Calibri" w:cs="Calibri"/>
              </w:rPr>
              <w:t xml:space="preserve"> </w:t>
            </w:r>
            <w:r w:rsidRPr="00CF319C">
              <w:rPr>
                <w:rFonts w:ascii="Calibri" w:hAnsi="Calibri" w:cs="Calibri"/>
              </w:rPr>
              <w:t>electricity tariffs</w:t>
            </w:r>
            <w:r>
              <w:rPr>
                <w:rFonts w:ascii="Calibri" w:hAnsi="Calibri" w:cs="Calibri"/>
              </w:rPr>
              <w:t xml:space="preserve"> worth 10.3%; and</w:t>
            </w:r>
          </w:p>
          <w:p w14:paraId="5B935421" w14:textId="77777777" w:rsidR="00CF319C" w:rsidRDefault="00CF319C" w:rsidP="00CF319C">
            <w:pPr>
              <w:pStyle w:val="ListParagraph"/>
              <w:numPr>
                <w:ilvl w:val="0"/>
                <w:numId w:val="50"/>
              </w:numPr>
              <w:jc w:val="both"/>
              <w:rPr>
                <w:rFonts w:ascii="Calibri" w:hAnsi="Calibri" w:cs="Calibri"/>
              </w:rPr>
            </w:pPr>
            <w:r>
              <w:rPr>
                <w:rFonts w:ascii="Calibri" w:hAnsi="Calibri" w:cs="Calibri"/>
              </w:rPr>
              <w:t>Implementation of just energy transition worth 10.1%.</w:t>
            </w:r>
          </w:p>
          <w:p w14:paraId="4DD0C7A6" w14:textId="77777777" w:rsidR="00B22366" w:rsidRDefault="00B22366" w:rsidP="00B22366">
            <w:pPr>
              <w:jc w:val="both"/>
              <w:rPr>
                <w:rFonts w:ascii="Calibri" w:hAnsi="Calibri" w:cs="Calibri"/>
              </w:rPr>
            </w:pPr>
            <w:r>
              <w:rPr>
                <w:rFonts w:ascii="Calibri" w:hAnsi="Calibri" w:cs="Calibri"/>
              </w:rPr>
              <w:t>Each category shall be ascribed a priority value on the Libert scale. The scale ranges from 1-5, with 1 indicating low performance and 5 indicating high performance. Afterwards, the relevant values shall be calculated with a given formula. The lower the overall value yielded by the calculation, the higher the priority to phase out the coal-fired power plant is.</w:t>
            </w:r>
          </w:p>
          <w:p w14:paraId="20CA8168" w14:textId="656F3617" w:rsidR="00B22366" w:rsidRPr="00B22366" w:rsidRDefault="00B22366" w:rsidP="00B22366">
            <w:pPr>
              <w:jc w:val="both"/>
              <w:rPr>
                <w:rFonts w:ascii="Calibri" w:hAnsi="Calibri" w:cs="Calibri"/>
              </w:rPr>
            </w:pPr>
            <w:r>
              <w:rPr>
                <w:rFonts w:ascii="Calibri" w:hAnsi="Calibri" w:cs="Calibri"/>
              </w:rPr>
              <w:t xml:space="preserve">Lastly, while the assessment stipulated above does ascribe a considerable value to just transition, the policy tool does not expressly stipulate a concrete target on how it is to be implemented.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488DC969" w:rsidR="000A1365" w:rsidRPr="00C37D48" w:rsidRDefault="00A91228"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02748F73" w:rsidR="00C81DE5" w:rsidRPr="00C37D48" w:rsidRDefault="00A91228"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4C1C13" w:rsidRPr="00C37D48" w14:paraId="292E4F18" w14:textId="77777777" w:rsidTr="00A21451">
        <w:trPr>
          <w:trHeight w:val="47"/>
        </w:trPr>
        <w:tc>
          <w:tcPr>
            <w:tcW w:w="1066" w:type="dxa"/>
            <w:vAlign w:val="center"/>
          </w:tcPr>
          <w:p w14:paraId="4486CA96" w14:textId="2A34DC86" w:rsidR="004C1C13" w:rsidRPr="00C37D48" w:rsidRDefault="004C1C13" w:rsidP="004C1C13">
            <w:pPr>
              <w:rPr>
                <w:rFonts w:ascii="Calibri" w:hAnsi="Calibri" w:cs="Calibri"/>
              </w:rPr>
            </w:pPr>
            <w:r w:rsidRPr="00C37D48">
              <w:rPr>
                <w:rFonts w:ascii="Calibri" w:hAnsi="Calibri" w:cs="Calibri"/>
              </w:rPr>
              <w:t>2.23.1</w:t>
            </w:r>
          </w:p>
        </w:tc>
        <w:tc>
          <w:tcPr>
            <w:tcW w:w="5812" w:type="dxa"/>
            <w:gridSpan w:val="3"/>
            <w:vAlign w:val="center"/>
          </w:tcPr>
          <w:p w14:paraId="0216AC4C" w14:textId="77777777" w:rsidR="004C1C13" w:rsidRPr="00C37D48" w:rsidRDefault="004C1C13" w:rsidP="004C1C13">
            <w:pPr>
              <w:rPr>
                <w:rFonts w:ascii="Calibri" w:hAnsi="Calibri" w:cs="Calibri"/>
                <w:b/>
                <w:color w:val="7030A0"/>
              </w:rPr>
            </w:pPr>
            <w:r w:rsidRPr="00C37D48">
              <w:rPr>
                <w:rFonts w:ascii="Calibri" w:hAnsi="Calibri" w:cs="Calibri"/>
                <w:b/>
                <w:color w:val="7030A0"/>
              </w:rPr>
              <w:t>Scope 1 emissions</w:t>
            </w:r>
          </w:p>
        </w:tc>
        <w:tc>
          <w:tcPr>
            <w:tcW w:w="1984" w:type="dxa"/>
          </w:tcPr>
          <w:p w14:paraId="3ADC7DE2" w14:textId="15956AB4" w:rsidR="004C1C13" w:rsidRPr="00C37D48" w:rsidRDefault="004C1C13" w:rsidP="004C1C13">
            <w:pPr>
              <w:rPr>
                <w:rFonts w:ascii="Calibri" w:hAnsi="Calibri" w:cs="Calibri"/>
              </w:rPr>
            </w:pPr>
          </w:p>
        </w:tc>
        <w:tc>
          <w:tcPr>
            <w:tcW w:w="1573" w:type="dxa"/>
          </w:tcPr>
          <w:p w14:paraId="37D60944" w14:textId="47D24D45" w:rsidR="004C1C13" w:rsidRPr="00C37D48" w:rsidRDefault="004C1C13" w:rsidP="004C1C13">
            <w:pPr>
              <w:rPr>
                <w:rFonts w:ascii="Calibri" w:hAnsi="Calibri" w:cs="Calibri"/>
              </w:rPr>
            </w:pPr>
          </w:p>
        </w:tc>
      </w:tr>
      <w:tr w:rsidR="004C1C13" w:rsidRPr="00C37D48" w14:paraId="17008525" w14:textId="77777777" w:rsidTr="00A21451">
        <w:trPr>
          <w:trHeight w:val="44"/>
        </w:trPr>
        <w:tc>
          <w:tcPr>
            <w:tcW w:w="1066" w:type="dxa"/>
            <w:vAlign w:val="center"/>
          </w:tcPr>
          <w:p w14:paraId="709D19F1" w14:textId="1F8DC05E" w:rsidR="004C1C13" w:rsidRPr="00C37D48" w:rsidRDefault="004C1C13" w:rsidP="004C1C13">
            <w:pPr>
              <w:rPr>
                <w:rFonts w:ascii="Calibri" w:hAnsi="Calibri" w:cs="Calibri"/>
              </w:rPr>
            </w:pPr>
            <w:r w:rsidRPr="00C37D48">
              <w:rPr>
                <w:rFonts w:ascii="Calibri" w:hAnsi="Calibri" w:cs="Calibri"/>
              </w:rPr>
              <w:t>2.23.2</w:t>
            </w:r>
          </w:p>
        </w:tc>
        <w:tc>
          <w:tcPr>
            <w:tcW w:w="5812" w:type="dxa"/>
            <w:gridSpan w:val="3"/>
            <w:vAlign w:val="center"/>
          </w:tcPr>
          <w:p w14:paraId="55F924AA" w14:textId="77777777" w:rsidR="004C1C13" w:rsidRPr="00C37D48" w:rsidRDefault="004C1C13" w:rsidP="004C1C13">
            <w:pPr>
              <w:rPr>
                <w:rFonts w:ascii="Calibri" w:hAnsi="Calibri" w:cs="Calibri"/>
                <w:b/>
                <w:color w:val="7030A0"/>
              </w:rPr>
            </w:pPr>
            <w:r w:rsidRPr="00C37D48">
              <w:rPr>
                <w:rFonts w:ascii="Calibri" w:hAnsi="Calibri" w:cs="Calibri"/>
                <w:b/>
                <w:color w:val="7030A0"/>
              </w:rPr>
              <w:t>Scope 2 emissions</w:t>
            </w:r>
          </w:p>
        </w:tc>
        <w:tc>
          <w:tcPr>
            <w:tcW w:w="1984" w:type="dxa"/>
          </w:tcPr>
          <w:p w14:paraId="5200802C" w14:textId="202B2700" w:rsidR="004C1C13" w:rsidRPr="00C37D48" w:rsidRDefault="004C1C13" w:rsidP="004C1C13">
            <w:pPr>
              <w:rPr>
                <w:rFonts w:ascii="Calibri" w:hAnsi="Calibri" w:cs="Calibri"/>
              </w:rPr>
            </w:pPr>
          </w:p>
        </w:tc>
        <w:tc>
          <w:tcPr>
            <w:tcW w:w="1573" w:type="dxa"/>
          </w:tcPr>
          <w:p w14:paraId="7841FFD5" w14:textId="04839AB2" w:rsidR="004C1C13" w:rsidRPr="00C37D48" w:rsidRDefault="004C1C13" w:rsidP="004C1C13">
            <w:pPr>
              <w:rPr>
                <w:rFonts w:ascii="Calibri" w:hAnsi="Calibri" w:cs="Calibri"/>
              </w:rPr>
            </w:pPr>
          </w:p>
        </w:tc>
      </w:tr>
      <w:tr w:rsidR="004C1C13" w:rsidRPr="00C37D48" w14:paraId="34274A1B" w14:textId="77777777" w:rsidTr="00A21451">
        <w:trPr>
          <w:trHeight w:val="44"/>
        </w:trPr>
        <w:tc>
          <w:tcPr>
            <w:tcW w:w="1066" w:type="dxa"/>
            <w:vAlign w:val="center"/>
          </w:tcPr>
          <w:p w14:paraId="0A008C2D" w14:textId="0DA3EFB0" w:rsidR="004C1C13" w:rsidRPr="00C37D48" w:rsidRDefault="004C1C13" w:rsidP="004C1C13">
            <w:pPr>
              <w:rPr>
                <w:rFonts w:ascii="Calibri" w:hAnsi="Calibri" w:cs="Calibri"/>
              </w:rPr>
            </w:pPr>
            <w:r w:rsidRPr="00C37D48">
              <w:rPr>
                <w:rFonts w:ascii="Calibri" w:hAnsi="Calibri" w:cs="Calibri"/>
              </w:rPr>
              <w:t>2.23.3</w:t>
            </w:r>
          </w:p>
        </w:tc>
        <w:tc>
          <w:tcPr>
            <w:tcW w:w="5812" w:type="dxa"/>
            <w:gridSpan w:val="3"/>
            <w:vAlign w:val="center"/>
          </w:tcPr>
          <w:p w14:paraId="520E4282" w14:textId="77777777" w:rsidR="004C1C13" w:rsidRPr="00C37D48" w:rsidRDefault="004C1C13" w:rsidP="004C1C13">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Pr>
          <w:p w14:paraId="081A5CDB" w14:textId="3283F9E7" w:rsidR="004C1C13" w:rsidRPr="00C37D48" w:rsidRDefault="004C1C13" w:rsidP="004C1C13">
            <w:pPr>
              <w:rPr>
                <w:rFonts w:ascii="Calibri" w:hAnsi="Calibri" w:cs="Calibri"/>
              </w:rPr>
            </w:pPr>
          </w:p>
        </w:tc>
        <w:tc>
          <w:tcPr>
            <w:tcW w:w="1573" w:type="dxa"/>
          </w:tcPr>
          <w:p w14:paraId="7668F90C" w14:textId="2BF22BB5" w:rsidR="004C1C13" w:rsidRPr="00C37D48" w:rsidRDefault="004C1C13" w:rsidP="004C1C13">
            <w:pPr>
              <w:rPr>
                <w:rFonts w:ascii="Calibri" w:hAnsi="Calibri" w:cs="Calibri"/>
              </w:rPr>
            </w:pPr>
          </w:p>
        </w:tc>
      </w:tr>
      <w:tr w:rsidR="004C1C13" w:rsidRPr="00C37D48" w14:paraId="5DE40A05" w14:textId="77777777" w:rsidTr="00A21451">
        <w:trPr>
          <w:trHeight w:val="44"/>
        </w:trPr>
        <w:tc>
          <w:tcPr>
            <w:tcW w:w="1066" w:type="dxa"/>
            <w:vAlign w:val="center"/>
          </w:tcPr>
          <w:p w14:paraId="6252B450" w14:textId="7F8D2DBB" w:rsidR="004C1C13" w:rsidRPr="00C37D48" w:rsidRDefault="004C1C13" w:rsidP="004C1C13">
            <w:pPr>
              <w:rPr>
                <w:rFonts w:ascii="Calibri" w:hAnsi="Calibri" w:cs="Calibri"/>
              </w:rPr>
            </w:pPr>
            <w:r w:rsidRPr="00C37D48">
              <w:rPr>
                <w:rFonts w:ascii="Calibri" w:hAnsi="Calibri" w:cs="Calibri"/>
              </w:rPr>
              <w:t>2.23.4</w:t>
            </w:r>
          </w:p>
        </w:tc>
        <w:tc>
          <w:tcPr>
            <w:tcW w:w="5812" w:type="dxa"/>
            <w:gridSpan w:val="3"/>
            <w:vAlign w:val="center"/>
          </w:tcPr>
          <w:p w14:paraId="19DC5E58" w14:textId="77777777" w:rsidR="004C1C13" w:rsidRPr="00C37D48" w:rsidRDefault="004C1C13" w:rsidP="004C1C13">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Pr>
          <w:p w14:paraId="361C246B" w14:textId="0C16D0AA" w:rsidR="004C1C13" w:rsidRPr="00C37D48" w:rsidRDefault="004C1C13" w:rsidP="004C1C13">
            <w:pPr>
              <w:rPr>
                <w:rFonts w:ascii="Calibri" w:hAnsi="Calibri" w:cs="Calibri"/>
              </w:rPr>
            </w:pPr>
          </w:p>
        </w:tc>
        <w:tc>
          <w:tcPr>
            <w:tcW w:w="1573" w:type="dxa"/>
          </w:tcPr>
          <w:p w14:paraId="70ADFD87" w14:textId="62B3EF5A" w:rsidR="004C1C13" w:rsidRPr="00C37D48" w:rsidRDefault="004C1C13" w:rsidP="004C1C13">
            <w:pPr>
              <w:rPr>
                <w:rFonts w:ascii="Calibri" w:hAnsi="Calibri" w:cs="Calibri"/>
              </w:rPr>
            </w:pPr>
          </w:p>
        </w:tc>
      </w:tr>
      <w:tr w:rsidR="004C1C13" w:rsidRPr="00C37D48" w14:paraId="00D60552" w14:textId="77777777" w:rsidTr="00A21451">
        <w:trPr>
          <w:trHeight w:val="356"/>
        </w:trPr>
        <w:tc>
          <w:tcPr>
            <w:tcW w:w="1066" w:type="dxa"/>
            <w:vAlign w:val="center"/>
          </w:tcPr>
          <w:p w14:paraId="106143E7" w14:textId="4DC0CDAC" w:rsidR="004C1C13" w:rsidRPr="00C37D48" w:rsidRDefault="004C1C13" w:rsidP="004C1C13">
            <w:pPr>
              <w:rPr>
                <w:rFonts w:ascii="Calibri" w:hAnsi="Calibri" w:cs="Calibri"/>
              </w:rPr>
            </w:pPr>
            <w:r w:rsidRPr="00C37D48">
              <w:rPr>
                <w:rFonts w:ascii="Calibri" w:hAnsi="Calibri" w:cs="Calibri"/>
              </w:rPr>
              <w:t>2.23.5</w:t>
            </w:r>
          </w:p>
        </w:tc>
        <w:tc>
          <w:tcPr>
            <w:tcW w:w="5812" w:type="dxa"/>
            <w:gridSpan w:val="3"/>
            <w:vAlign w:val="center"/>
          </w:tcPr>
          <w:p w14:paraId="7E769F79" w14:textId="77777777" w:rsidR="004C1C13" w:rsidRPr="00C37D48" w:rsidRDefault="004C1C13" w:rsidP="004C1C13">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Pr>
          <w:p w14:paraId="27D0EBC1" w14:textId="624FB0A5" w:rsidR="004C1C13" w:rsidRPr="00C37D48" w:rsidRDefault="004C1C13" w:rsidP="004C1C13">
            <w:pPr>
              <w:rPr>
                <w:rFonts w:ascii="Calibri" w:hAnsi="Calibri" w:cs="Calibri"/>
              </w:rPr>
            </w:pPr>
          </w:p>
        </w:tc>
        <w:tc>
          <w:tcPr>
            <w:tcW w:w="1573" w:type="dxa"/>
          </w:tcPr>
          <w:p w14:paraId="14F11C43" w14:textId="26388E33" w:rsidR="004C1C13" w:rsidRPr="00C37D48" w:rsidRDefault="004C1C13" w:rsidP="004C1C13">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46DE3BC" w:rsidR="000A1365" w:rsidRPr="00C37D48" w:rsidRDefault="008221F2"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0E63E16B" w:rsidR="000A1365" w:rsidRPr="00C37D48" w:rsidRDefault="008221F2" w:rsidP="00C37D48">
            <w:pPr>
              <w:rPr>
                <w:rFonts w:ascii="Calibri" w:hAnsi="Calibri" w:cs="Calibri"/>
              </w:rPr>
            </w:pPr>
            <w:r>
              <w:rPr>
                <w:rFonts w:ascii="Calibri" w:hAnsi="Calibri" w:cs="Calibri"/>
              </w:rPr>
              <w:t>Net-zero emissions by 2060 for the electric power sector.</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4CAFDB22" w:rsidR="000A1365" w:rsidRPr="00C37D48" w:rsidRDefault="00A91228"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7BB79115" w:rsidR="000A1365" w:rsidRPr="00C37D48" w:rsidRDefault="000437B7"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2398DEDF" w:rsidR="000A1365" w:rsidRPr="00C37D48" w:rsidRDefault="008221F2"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72154B6D" w:rsidR="000A1365" w:rsidRPr="00C37D48" w:rsidRDefault="000437B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49C42195" w:rsidR="00D9431B" w:rsidRPr="00C37D48" w:rsidRDefault="008221F2"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0449345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476D480" w:rsidR="004A4C51" w:rsidRPr="00C37D48" w:rsidRDefault="000437B7" w:rsidP="00C37D48">
            <w:pPr>
              <w:rPr>
                <w:rFonts w:ascii="Calibri" w:hAnsi="Calibri" w:cs="Calibri"/>
              </w:rPr>
            </w:pPr>
            <w:r>
              <w:rPr>
                <w:rFonts w:ascii="Calibri" w:hAnsi="Calibri" w:cs="Calibri"/>
              </w:rPr>
              <w:t>The policy tool does not specifically discuss the appropriate use of offsets.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2DC2F842" w:rsidR="00890032" w:rsidRPr="00C37D48" w:rsidRDefault="000437B7" w:rsidP="00C37D48">
            <w:pPr>
              <w:rPr>
                <w:rFonts w:ascii="Calibri" w:hAnsi="Calibri" w:cs="Calibri"/>
              </w:rPr>
            </w:pPr>
            <w:r w:rsidRPr="008221F2">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19DA4F18" w:rsidR="00474855" w:rsidRPr="00C37D48" w:rsidRDefault="00421511" w:rsidP="00C37D48">
            <w:pPr>
              <w:rPr>
                <w:rFonts w:ascii="Calibri" w:hAnsi="Calibri" w:cs="Calibri"/>
              </w:rPr>
            </w:pPr>
            <w:r>
              <w:rPr>
                <w:rFonts w:ascii="Calibri" w:hAnsi="Calibri" w:cs="Calibri"/>
              </w:rPr>
              <w:t xml:space="preserve">No, they do not differ.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FFFDC61" w:rsidR="003618D4" w:rsidRPr="00C37D48" w:rsidRDefault="003618D4" w:rsidP="00C37D48">
            <w:pPr>
              <w:rPr>
                <w:rFonts w:ascii="Calibri" w:hAnsi="Calibri" w:cs="Calibri"/>
              </w:rPr>
            </w:pPr>
          </w:p>
        </w:tc>
        <w:tc>
          <w:tcPr>
            <w:tcW w:w="1731" w:type="dxa"/>
            <w:vAlign w:val="center"/>
          </w:tcPr>
          <w:p w14:paraId="17CC309C" w14:textId="25B64E54" w:rsidR="003618D4" w:rsidRPr="00C37D48" w:rsidRDefault="00DC2189"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56409FF1" w:rsidR="003618D4" w:rsidRPr="00C37D48" w:rsidRDefault="003618D4" w:rsidP="00C37D48">
            <w:pPr>
              <w:rPr>
                <w:rFonts w:ascii="Calibri" w:hAnsi="Calibri" w:cs="Calibri"/>
              </w:rPr>
            </w:pPr>
          </w:p>
        </w:tc>
        <w:tc>
          <w:tcPr>
            <w:tcW w:w="1731" w:type="dxa"/>
            <w:vAlign w:val="center"/>
          </w:tcPr>
          <w:p w14:paraId="7905F50E" w14:textId="0844BC7E" w:rsidR="003618D4" w:rsidRPr="00C37D48" w:rsidRDefault="00DC2189"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9C5B3A2" w:rsidR="003618D4" w:rsidRPr="00C37D48" w:rsidRDefault="003618D4" w:rsidP="00C37D48">
            <w:pPr>
              <w:rPr>
                <w:rFonts w:ascii="Calibri" w:hAnsi="Calibri" w:cs="Calibri"/>
              </w:rPr>
            </w:pPr>
          </w:p>
        </w:tc>
        <w:tc>
          <w:tcPr>
            <w:tcW w:w="1731" w:type="dxa"/>
            <w:vAlign w:val="center"/>
          </w:tcPr>
          <w:p w14:paraId="5EC08EF7" w14:textId="708916E7" w:rsidR="003618D4" w:rsidRPr="00C37D48" w:rsidRDefault="00DC2189" w:rsidP="00C37D48">
            <w:pPr>
              <w:rPr>
                <w:rFonts w:ascii="Calibri" w:hAnsi="Calibri" w:cs="Calibri"/>
              </w:rPr>
            </w:pPr>
            <w:r>
              <w:rPr>
                <w:rFonts w:ascii="Calibri" w:hAnsi="Calibri" w:cs="Calibri"/>
              </w:rPr>
              <w:t>X</w:t>
            </w:r>
          </w:p>
        </w:tc>
        <w:tc>
          <w:tcPr>
            <w:tcW w:w="2363" w:type="dxa"/>
            <w:vAlign w:val="center"/>
          </w:tcPr>
          <w:p w14:paraId="02E8ED17" w14:textId="379508D4"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FB6F682" w:rsidR="003618D4" w:rsidRPr="00C37D48" w:rsidRDefault="00B0692F"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E550BEA" w:rsidR="003618D4" w:rsidRPr="00C37D48" w:rsidRDefault="00B0692F"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1290F6B4" w:rsidR="003618D4" w:rsidRPr="00C37D48" w:rsidRDefault="00B0692F"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7FDBA6C9" w14:textId="77777777" w:rsidR="005E24A4" w:rsidRDefault="00B0692F" w:rsidP="00B26AFF">
            <w:pPr>
              <w:jc w:val="both"/>
              <w:rPr>
                <w:rFonts w:ascii="Calibri" w:hAnsi="Calibri" w:cs="Calibri"/>
              </w:rPr>
            </w:pPr>
            <w:r>
              <w:rPr>
                <w:rFonts w:ascii="Calibri" w:hAnsi="Calibri" w:cs="Calibri"/>
              </w:rPr>
              <w:t>Given that the net-zero emissions target is set to be achieved by 2060, the policy tool essentially entails a 35-year plan since the effective date of the policy tool in 2025</w:t>
            </w:r>
            <w:r w:rsidR="005E24A4">
              <w:rPr>
                <w:rFonts w:ascii="Calibri" w:hAnsi="Calibri" w:cs="Calibri"/>
              </w:rPr>
              <w:t xml:space="preserve"> as seen in Section B Point 1 of the Appendix to the policy tool</w:t>
            </w:r>
            <w:r>
              <w:rPr>
                <w:rFonts w:ascii="Calibri" w:hAnsi="Calibri" w:cs="Calibri"/>
              </w:rPr>
              <w:t xml:space="preserve">. </w:t>
            </w:r>
          </w:p>
          <w:p w14:paraId="488AC7CD" w14:textId="2127D4D2" w:rsidR="005733AF" w:rsidRDefault="00B26AFF" w:rsidP="00B26AFF">
            <w:pPr>
              <w:jc w:val="both"/>
              <w:rPr>
                <w:rFonts w:ascii="Calibri" w:hAnsi="Calibri" w:cs="Calibri"/>
              </w:rPr>
            </w:pPr>
            <w:r>
              <w:rPr>
                <w:rFonts w:ascii="Calibri" w:hAnsi="Calibri" w:cs="Calibri"/>
              </w:rPr>
              <w:t xml:space="preserve">In monitoring the implementation of such net-zero target, </w:t>
            </w:r>
            <w:r w:rsidR="00B0692F">
              <w:rPr>
                <w:rFonts w:ascii="Calibri" w:hAnsi="Calibri" w:cs="Calibri"/>
              </w:rPr>
              <w:t xml:space="preserve">policy tool itself does not expressly </w:t>
            </w:r>
            <w:r>
              <w:rPr>
                <w:rFonts w:ascii="Calibri" w:hAnsi="Calibri" w:cs="Calibri"/>
              </w:rPr>
              <w:t xml:space="preserve">use the language </w:t>
            </w:r>
            <w:r w:rsidR="00B0692F">
              <w:rPr>
                <w:rFonts w:ascii="Calibri" w:hAnsi="Calibri" w:cs="Calibri"/>
              </w:rPr>
              <w:t xml:space="preserve">‘key performance </w:t>
            </w:r>
            <w:r w:rsidR="005E24A4">
              <w:rPr>
                <w:rFonts w:ascii="Calibri" w:hAnsi="Calibri" w:cs="Calibri"/>
              </w:rPr>
              <w:t>indicators</w:t>
            </w:r>
            <w:r>
              <w:rPr>
                <w:rFonts w:ascii="Calibri" w:hAnsi="Calibri" w:cs="Calibri"/>
              </w:rPr>
              <w:t xml:space="preserve">. Instead, </w:t>
            </w:r>
            <w:r w:rsidR="00B0692F">
              <w:rPr>
                <w:rFonts w:ascii="Calibri" w:hAnsi="Calibri" w:cs="Calibri"/>
              </w:rPr>
              <w:t>it stipulate</w:t>
            </w:r>
            <w:r>
              <w:rPr>
                <w:rFonts w:ascii="Calibri" w:hAnsi="Calibri" w:cs="Calibri"/>
              </w:rPr>
              <w:t>s</w:t>
            </w:r>
            <w:r w:rsidR="00B0692F">
              <w:rPr>
                <w:rFonts w:ascii="Calibri" w:hAnsi="Calibri" w:cs="Calibri"/>
              </w:rPr>
              <w:t xml:space="preserve"> </w:t>
            </w:r>
            <w:r>
              <w:rPr>
                <w:rFonts w:ascii="Calibri" w:hAnsi="Calibri" w:cs="Calibri"/>
              </w:rPr>
              <w:t xml:space="preserve">milestone </w:t>
            </w:r>
            <w:r w:rsidR="00B0692F">
              <w:rPr>
                <w:rFonts w:ascii="Calibri" w:hAnsi="Calibri" w:cs="Calibri"/>
              </w:rPr>
              <w:t>projections in the expected realization of the 2060 net-zero emissions target</w:t>
            </w:r>
            <w:r>
              <w:rPr>
                <w:rFonts w:ascii="Calibri" w:hAnsi="Calibri" w:cs="Calibri"/>
              </w:rPr>
              <w:t xml:space="preserve"> which is stipulated in the roadmap on accelerated phase out for coal-fired power plants</w:t>
            </w:r>
            <w:r w:rsidR="00B0692F">
              <w:rPr>
                <w:rFonts w:ascii="Calibri" w:hAnsi="Calibri" w:cs="Calibri"/>
              </w:rPr>
              <w:t>.</w:t>
            </w:r>
            <w:r>
              <w:rPr>
                <w:rFonts w:ascii="Calibri" w:hAnsi="Calibri" w:cs="Calibri"/>
              </w:rPr>
              <w:t xml:space="preserve"> </w:t>
            </w:r>
            <w:r w:rsidR="00B0692F">
              <w:rPr>
                <w:rFonts w:ascii="Calibri" w:hAnsi="Calibri" w:cs="Calibri"/>
              </w:rPr>
              <w:t xml:space="preserve"> </w:t>
            </w:r>
            <w:r w:rsidR="005E24A4">
              <w:rPr>
                <w:rFonts w:ascii="Calibri" w:hAnsi="Calibri" w:cs="Calibri"/>
              </w:rPr>
              <w:t>Such milestone projections can be seen throughout the Appendix to the policy tool.</w:t>
            </w:r>
          </w:p>
          <w:p w14:paraId="475AE54F" w14:textId="24661E2F" w:rsidR="005E24A4" w:rsidRPr="00C37D48" w:rsidRDefault="005E24A4" w:rsidP="00B26AFF">
            <w:pPr>
              <w:jc w:val="both"/>
              <w:rPr>
                <w:rFonts w:ascii="Calibri" w:hAnsi="Calibri" w:cs="Calibri"/>
              </w:rPr>
            </w:pPr>
            <w:r>
              <w:rPr>
                <w:rFonts w:ascii="Calibri" w:hAnsi="Calibri" w:cs="Calibri"/>
              </w:rPr>
              <w:t xml:space="preserve">In ensuring that the roadmap contained in the Appendix of the policy remains relevant to its goal, Article 18(3) of the policy tool provides that the roadmap shall be periodically evaluated once every 6 months or incidentally as necessary.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3991FD92" w:rsidR="00E7486E" w:rsidRPr="00C37D48" w:rsidRDefault="003B5947"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6D8453A2" w:rsidR="00E7486E" w:rsidRPr="00C37D48" w:rsidRDefault="0031102C" w:rsidP="00592727">
            <w:pPr>
              <w:jc w:val="both"/>
              <w:rPr>
                <w:rFonts w:ascii="Calibri" w:hAnsi="Calibri" w:cs="Calibri"/>
              </w:rPr>
            </w:pPr>
            <w:r>
              <w:rPr>
                <w:rFonts w:ascii="Calibri" w:hAnsi="Calibri" w:cs="Calibri"/>
              </w:rPr>
              <w:t xml:space="preserve">Pursuant to Article 17 of the policy tool, </w:t>
            </w:r>
            <w:r w:rsidR="00592727">
              <w:rPr>
                <w:rFonts w:ascii="Calibri" w:hAnsi="Calibri" w:cs="Calibri"/>
              </w:rPr>
              <w:t xml:space="preserve">the acceleration of coal-fired power plant phase-out shall be evaluated every 6 months or incidentally as necessary. This includes monitoring for any increase in associated costs which may entail a need for further funding.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30B99771" w:rsidR="00671EA4" w:rsidRPr="00C37D48" w:rsidRDefault="003B5947"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067A44D6" w:rsidR="00421511" w:rsidRPr="00C37D48" w:rsidRDefault="00421511"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7191C6A" w:rsidR="00B610C2" w:rsidRPr="00610F28" w:rsidRDefault="0042151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9640066" w:rsidR="00B610C2" w:rsidRPr="00610F28" w:rsidRDefault="0042151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1C70267E" w:rsidR="00B610C2" w:rsidRPr="00610F28" w:rsidRDefault="0042151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58176A9" w:rsidR="00B610C2" w:rsidRPr="00610F28" w:rsidRDefault="0042151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2B1DE6E" w:rsidR="00B610C2" w:rsidRPr="00610F28" w:rsidRDefault="0042151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CAEDBCF" w:rsidR="00B610C2" w:rsidRPr="00610F28" w:rsidRDefault="0042151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B33505D" w:rsidR="00B610C2" w:rsidRPr="00610F28" w:rsidRDefault="0042151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A9EFA84" w:rsidR="00B610C2" w:rsidRPr="00610F28" w:rsidRDefault="0042151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FFD882C" w:rsidR="00B610C2" w:rsidRPr="00610F28" w:rsidRDefault="0042151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C5DE150" w:rsidR="00B610C2" w:rsidRPr="00610F28" w:rsidRDefault="0042151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5B81E48F" w:rsidR="00B610C2" w:rsidRPr="00610F28" w:rsidRDefault="00421511" w:rsidP="00610F28">
            <w:pPr>
              <w:rPr>
                <w:rFonts w:ascii="Calibri" w:hAnsi="Calibri" w:cs="Calibri"/>
              </w:rPr>
            </w:pPr>
            <w:r>
              <w:rPr>
                <w:rFonts w:ascii="Calibri" w:hAnsi="Calibri" w:cs="Calibri"/>
              </w:rPr>
              <w:t>X</w:t>
            </w:r>
          </w:p>
        </w:tc>
        <w:tc>
          <w:tcPr>
            <w:tcW w:w="1450" w:type="dxa"/>
            <w:vAlign w:val="center"/>
          </w:tcPr>
          <w:p w14:paraId="292FE0E0" w14:textId="3877804D"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4849B6B" w14:textId="58CE3F55" w:rsidR="001B1A0D" w:rsidRDefault="001B1A0D" w:rsidP="001B1A0D">
            <w:pPr>
              <w:jc w:val="both"/>
              <w:rPr>
                <w:rFonts w:ascii="Calibri" w:hAnsi="Calibri" w:cs="Calibri"/>
              </w:rPr>
            </w:pPr>
            <w:r>
              <w:rPr>
                <w:rFonts w:ascii="Calibri" w:hAnsi="Calibri" w:cs="Calibri"/>
              </w:rPr>
              <w:t>The Appendix to the policy tool stipulated the following policies which must be duly complied with, namely:</w:t>
            </w:r>
          </w:p>
          <w:p w14:paraId="20C26E05" w14:textId="528DDAAE" w:rsidR="001B1A0D" w:rsidRDefault="001B1A0D" w:rsidP="001B1A0D">
            <w:pPr>
              <w:pStyle w:val="ListParagraph"/>
              <w:numPr>
                <w:ilvl w:val="0"/>
                <w:numId w:val="52"/>
              </w:numPr>
              <w:rPr>
                <w:rFonts w:ascii="Calibri" w:hAnsi="Calibri" w:cs="Calibri"/>
              </w:rPr>
            </w:pPr>
            <w:r>
              <w:rPr>
                <w:rFonts w:ascii="Calibri" w:hAnsi="Calibri" w:cs="Calibri"/>
              </w:rPr>
              <w:t xml:space="preserve">Law No. 30 of 2007 regarding Energy; </w:t>
            </w:r>
          </w:p>
          <w:p w14:paraId="2CE06159" w14:textId="37497D29" w:rsidR="001B1A0D" w:rsidRDefault="001B1A0D" w:rsidP="001B1A0D">
            <w:pPr>
              <w:pStyle w:val="ListParagraph"/>
              <w:numPr>
                <w:ilvl w:val="0"/>
                <w:numId w:val="52"/>
              </w:numPr>
              <w:rPr>
                <w:rFonts w:ascii="Calibri" w:hAnsi="Calibri" w:cs="Calibri"/>
              </w:rPr>
            </w:pPr>
            <w:r>
              <w:rPr>
                <w:rFonts w:ascii="Calibri" w:hAnsi="Calibri" w:cs="Calibri"/>
              </w:rPr>
              <w:t xml:space="preserve">Law No. 30 of 2009 regarding Electric Power as amended by Law No. 6 of 2023; </w:t>
            </w:r>
          </w:p>
          <w:p w14:paraId="54FD3F8B" w14:textId="684D4BD7" w:rsidR="001B1A0D" w:rsidRDefault="001B1A0D" w:rsidP="001B1A0D">
            <w:pPr>
              <w:pStyle w:val="ListParagraph"/>
              <w:numPr>
                <w:ilvl w:val="0"/>
                <w:numId w:val="52"/>
              </w:numPr>
              <w:rPr>
                <w:rFonts w:ascii="Calibri" w:hAnsi="Calibri" w:cs="Calibri"/>
              </w:rPr>
            </w:pPr>
            <w:r>
              <w:rPr>
                <w:rFonts w:ascii="Calibri" w:hAnsi="Calibri" w:cs="Calibri"/>
              </w:rPr>
              <w:t xml:space="preserve">The National Long Term Development Plan as stipulated under Law No. 59 of 2024 regarding the National Long Term Development Plan of 2025-2045; </w:t>
            </w:r>
          </w:p>
          <w:p w14:paraId="29F65CBE" w14:textId="28F181BF" w:rsidR="001B1A0D" w:rsidRDefault="001B1A0D" w:rsidP="001B1A0D">
            <w:pPr>
              <w:pStyle w:val="ListParagraph"/>
              <w:numPr>
                <w:ilvl w:val="0"/>
                <w:numId w:val="52"/>
              </w:numPr>
              <w:rPr>
                <w:rFonts w:ascii="Calibri" w:hAnsi="Calibri" w:cs="Calibri"/>
              </w:rPr>
            </w:pPr>
            <w:r>
              <w:rPr>
                <w:rFonts w:ascii="Calibri" w:hAnsi="Calibri" w:cs="Calibri"/>
              </w:rPr>
              <w:t>The National Energy Policy</w:t>
            </w:r>
            <w:r w:rsidR="00053B76">
              <w:rPr>
                <w:rFonts w:ascii="Calibri" w:hAnsi="Calibri" w:cs="Calibri"/>
              </w:rPr>
              <w:t xml:space="preserve"> as stipulated under Government Regulation No. 79 of 2014 regarding the National Energy Policy;</w:t>
            </w:r>
            <w:r w:rsidR="000B29D3" w:rsidRPr="001B1A0D">
              <w:rPr>
                <w:rFonts w:ascii="Calibri" w:hAnsi="Calibri" w:cs="Calibri"/>
              </w:rPr>
              <w:t xml:space="preserve"> </w:t>
            </w:r>
          </w:p>
          <w:p w14:paraId="26EB1DE2" w14:textId="28BA37FC" w:rsidR="001B1A0D" w:rsidRDefault="00053B76" w:rsidP="001B1A0D">
            <w:pPr>
              <w:pStyle w:val="ListParagraph"/>
              <w:numPr>
                <w:ilvl w:val="0"/>
                <w:numId w:val="52"/>
              </w:numPr>
              <w:rPr>
                <w:rFonts w:ascii="Calibri" w:hAnsi="Calibri" w:cs="Calibri"/>
              </w:rPr>
            </w:pPr>
            <w:r>
              <w:rPr>
                <w:rFonts w:ascii="Calibri" w:hAnsi="Calibri" w:cs="Calibri"/>
              </w:rPr>
              <w:t>The General National Electricity Planas stipulated under MEMR Decree No. 85.K/TL.01/MEM.L/2025 regarding the same;</w:t>
            </w:r>
            <w:r w:rsidR="000B29D3" w:rsidRPr="001B1A0D">
              <w:rPr>
                <w:rFonts w:ascii="Calibri" w:hAnsi="Calibri" w:cs="Calibri"/>
              </w:rPr>
              <w:t xml:space="preserve"> </w:t>
            </w:r>
          </w:p>
          <w:p w14:paraId="215C715C" w14:textId="307D37E9" w:rsidR="001B1A0D" w:rsidRDefault="00053B76" w:rsidP="001B1A0D">
            <w:pPr>
              <w:pStyle w:val="ListParagraph"/>
              <w:numPr>
                <w:ilvl w:val="0"/>
                <w:numId w:val="52"/>
              </w:numPr>
              <w:rPr>
                <w:rFonts w:ascii="Calibri" w:hAnsi="Calibri" w:cs="Calibri"/>
              </w:rPr>
            </w:pPr>
            <w:r>
              <w:rPr>
                <w:rFonts w:ascii="Calibri" w:hAnsi="Calibri" w:cs="Calibri"/>
              </w:rPr>
              <w:t xml:space="preserve">The </w:t>
            </w:r>
            <w:r w:rsidRPr="009D58A3">
              <w:rPr>
                <w:rFonts w:ascii="Calibri" w:hAnsi="Calibri" w:cs="Calibri"/>
              </w:rPr>
              <w:t xml:space="preserve">Electric Power Provision Business Plan </w:t>
            </w:r>
            <w:r>
              <w:rPr>
                <w:rFonts w:ascii="Calibri" w:hAnsi="Calibri" w:cs="Calibri"/>
              </w:rPr>
              <w:t>(</w:t>
            </w:r>
            <w:proofErr w:type="spellStart"/>
            <w:r w:rsidR="000B29D3" w:rsidRPr="00053B76">
              <w:rPr>
                <w:rFonts w:ascii="Calibri" w:hAnsi="Calibri" w:cs="Calibri"/>
                <w:i/>
                <w:iCs/>
              </w:rPr>
              <w:t>Rencana</w:t>
            </w:r>
            <w:proofErr w:type="spellEnd"/>
            <w:r w:rsidR="000B29D3" w:rsidRPr="00053B76">
              <w:rPr>
                <w:rFonts w:ascii="Calibri" w:hAnsi="Calibri" w:cs="Calibri"/>
                <w:i/>
                <w:iCs/>
              </w:rPr>
              <w:t xml:space="preserve"> Usaha </w:t>
            </w:r>
            <w:proofErr w:type="spellStart"/>
            <w:r w:rsidR="000B29D3" w:rsidRPr="00053B76">
              <w:rPr>
                <w:rFonts w:ascii="Calibri" w:hAnsi="Calibri" w:cs="Calibri"/>
                <w:i/>
                <w:iCs/>
              </w:rPr>
              <w:t>Penyediaan</w:t>
            </w:r>
            <w:proofErr w:type="spellEnd"/>
            <w:r w:rsidR="001B1A0D" w:rsidRPr="00053B76">
              <w:rPr>
                <w:rFonts w:ascii="Calibri" w:hAnsi="Calibri" w:cs="Calibri"/>
                <w:i/>
                <w:iCs/>
              </w:rPr>
              <w:t xml:space="preserve"> </w:t>
            </w:r>
            <w:r w:rsidR="000B29D3" w:rsidRPr="00053B76">
              <w:rPr>
                <w:rFonts w:ascii="Calibri" w:hAnsi="Calibri" w:cs="Calibri"/>
                <w:i/>
                <w:iCs/>
              </w:rPr>
              <w:t>Tenaga Listrik</w:t>
            </w:r>
            <w:r>
              <w:rPr>
                <w:rFonts w:ascii="Calibri" w:hAnsi="Calibri" w:cs="Calibri"/>
              </w:rPr>
              <w:t>) of PT PLN; and</w:t>
            </w:r>
          </w:p>
          <w:p w14:paraId="3C2756D6" w14:textId="028DE0C8" w:rsidR="00B610C2" w:rsidRPr="001B1A0D" w:rsidRDefault="002E1A9D" w:rsidP="001B1A0D">
            <w:pPr>
              <w:pStyle w:val="ListParagraph"/>
              <w:numPr>
                <w:ilvl w:val="0"/>
                <w:numId w:val="52"/>
              </w:numPr>
              <w:rPr>
                <w:rFonts w:ascii="Calibri" w:hAnsi="Calibri" w:cs="Calibri"/>
              </w:rPr>
            </w:pPr>
            <w:r>
              <w:rPr>
                <w:rFonts w:ascii="Calibri" w:hAnsi="Calibri" w:cs="Calibri"/>
              </w:rPr>
              <w:t xml:space="preserve">The </w:t>
            </w:r>
            <w:r w:rsidR="000B29D3" w:rsidRPr="001B1A0D">
              <w:rPr>
                <w:rFonts w:ascii="Calibri" w:hAnsi="Calibri" w:cs="Calibri"/>
              </w:rPr>
              <w:t>Indonesia Long-Term Strategy for Low Carbon and Climate Resilience 2050</w:t>
            </w:r>
            <w:r w:rsidR="00053B76">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27CF785B" w14:textId="26093E6C" w:rsidR="0062612B" w:rsidRDefault="0062612B" w:rsidP="00585BEF">
            <w:pPr>
              <w:jc w:val="both"/>
              <w:rPr>
                <w:rFonts w:ascii="Calibri" w:hAnsi="Calibri" w:cs="Calibri"/>
              </w:rPr>
            </w:pPr>
            <w:r w:rsidRPr="0062612B">
              <w:rPr>
                <w:rFonts w:ascii="Calibri" w:hAnsi="Calibri" w:cs="Calibri"/>
              </w:rPr>
              <w:t xml:space="preserve">Article 18 of the </w:t>
            </w:r>
            <w:r w:rsidR="00162DF8">
              <w:rPr>
                <w:rFonts w:ascii="Calibri" w:hAnsi="Calibri" w:cs="Calibri"/>
              </w:rPr>
              <w:t>p</w:t>
            </w:r>
            <w:r w:rsidRPr="0062612B">
              <w:rPr>
                <w:rFonts w:ascii="Calibri" w:hAnsi="Calibri" w:cs="Calibri"/>
              </w:rPr>
              <w:t xml:space="preserve">olicy </w:t>
            </w:r>
            <w:r w:rsidR="00162DF8">
              <w:rPr>
                <w:rFonts w:ascii="Calibri" w:hAnsi="Calibri" w:cs="Calibri"/>
              </w:rPr>
              <w:t>t</w:t>
            </w:r>
            <w:r w:rsidRPr="0062612B">
              <w:rPr>
                <w:rFonts w:ascii="Calibri" w:hAnsi="Calibri" w:cs="Calibri"/>
              </w:rPr>
              <w:t xml:space="preserve">ool provides that </w:t>
            </w:r>
            <w:r w:rsidR="00162DF8">
              <w:rPr>
                <w:rFonts w:ascii="Calibri" w:hAnsi="Calibri" w:cs="Calibri"/>
              </w:rPr>
              <w:t xml:space="preserve">the energy transition for the electric power sector shall be implemented in accordance with the roadmap stipulated in the Appendix of the policy tool. However, it is important to note that the express language of the road map only stipulates a net-zero emissions target for the electric power sector by 2060. Instead of clearly setting targets, the language of the roadmap indicated projections of the progress towards reaching such net-zero goals. In brief, such projections include the following: </w:t>
            </w:r>
          </w:p>
          <w:p w14:paraId="300F4F86" w14:textId="77777777" w:rsidR="00250F54" w:rsidRDefault="00585BEF" w:rsidP="005E24A4">
            <w:pPr>
              <w:pStyle w:val="ListParagraph"/>
              <w:numPr>
                <w:ilvl w:val="0"/>
                <w:numId w:val="54"/>
              </w:numPr>
              <w:rPr>
                <w:rFonts w:ascii="Calibri" w:hAnsi="Calibri" w:cs="Calibri"/>
              </w:rPr>
            </w:pPr>
            <w:r>
              <w:rPr>
                <w:rFonts w:ascii="Calibri" w:hAnsi="Calibri" w:cs="Calibri"/>
              </w:rPr>
              <w:t xml:space="preserve">A total capacity of 443 gigawatts derived from power plants consisting of 41.5% </w:t>
            </w:r>
            <w:r w:rsidR="00F91173">
              <w:rPr>
                <w:rFonts w:ascii="Calibri" w:hAnsi="Calibri" w:cs="Calibri"/>
              </w:rPr>
              <w:t xml:space="preserve">power plants utilizing variable renewable energy and 58.5% utilizing non-variable renewable energy. </w:t>
            </w:r>
          </w:p>
          <w:p w14:paraId="1D835956" w14:textId="77777777" w:rsidR="00F91173" w:rsidRDefault="00F91173" w:rsidP="005E24A4">
            <w:pPr>
              <w:pStyle w:val="ListParagraph"/>
              <w:numPr>
                <w:ilvl w:val="0"/>
                <w:numId w:val="54"/>
              </w:numPr>
              <w:rPr>
                <w:rFonts w:ascii="Calibri" w:hAnsi="Calibri" w:cs="Calibri"/>
              </w:rPr>
            </w:pPr>
            <w:r>
              <w:rPr>
                <w:rFonts w:ascii="Calibri" w:hAnsi="Calibri" w:cs="Calibri"/>
              </w:rPr>
              <w:t>Overall decline in GHG emissions starting from 2038.</w:t>
            </w:r>
          </w:p>
          <w:p w14:paraId="427DB9E0" w14:textId="77777777" w:rsidR="00F91173" w:rsidRDefault="00F91173" w:rsidP="005E24A4">
            <w:pPr>
              <w:pStyle w:val="ListParagraph"/>
              <w:numPr>
                <w:ilvl w:val="0"/>
                <w:numId w:val="54"/>
              </w:numPr>
              <w:rPr>
                <w:rFonts w:ascii="Calibri" w:hAnsi="Calibri" w:cs="Calibri"/>
              </w:rPr>
            </w:pPr>
            <w:r>
              <w:rPr>
                <w:rFonts w:ascii="Calibri" w:hAnsi="Calibri" w:cs="Calibri"/>
              </w:rPr>
              <w:t>Development of transmission networks within islands and between islands.</w:t>
            </w:r>
          </w:p>
          <w:p w14:paraId="1ACE9B2B" w14:textId="77777777" w:rsidR="00F91173" w:rsidRDefault="00F91173" w:rsidP="005E24A4">
            <w:pPr>
              <w:pStyle w:val="ListParagraph"/>
              <w:numPr>
                <w:ilvl w:val="0"/>
                <w:numId w:val="54"/>
              </w:numPr>
              <w:rPr>
                <w:rFonts w:ascii="Calibri" w:hAnsi="Calibri" w:cs="Calibri"/>
              </w:rPr>
            </w:pPr>
            <w:r>
              <w:rPr>
                <w:rFonts w:ascii="Calibri" w:hAnsi="Calibri" w:cs="Calibri"/>
              </w:rPr>
              <w:t>Potential decrease in average annual GHG emissions with the following breakdown:</w:t>
            </w:r>
          </w:p>
          <w:p w14:paraId="6510864B" w14:textId="2B31A042" w:rsidR="00F91173" w:rsidRDefault="00F91173" w:rsidP="00F91173">
            <w:pPr>
              <w:pStyle w:val="ListParagraph"/>
              <w:numPr>
                <w:ilvl w:val="0"/>
                <w:numId w:val="55"/>
              </w:numPr>
              <w:rPr>
                <w:rFonts w:ascii="Calibri" w:hAnsi="Calibri" w:cs="Calibri"/>
              </w:rPr>
            </w:pPr>
            <w:r>
              <w:rPr>
                <w:rFonts w:ascii="Calibri" w:hAnsi="Calibri" w:cs="Calibri"/>
              </w:rPr>
              <w:t>2030-2039: 34.5 million tons of CO</w:t>
            </w:r>
            <w:r>
              <w:rPr>
                <w:rFonts w:ascii="Calibri" w:hAnsi="Calibri" w:cs="Calibri"/>
                <w:vertAlign w:val="superscript"/>
              </w:rPr>
              <w:t>2</w:t>
            </w:r>
            <w:r>
              <w:rPr>
                <w:rFonts w:ascii="Calibri" w:hAnsi="Calibri" w:cs="Calibri"/>
              </w:rPr>
              <w:t xml:space="preserve"> per year.</w:t>
            </w:r>
          </w:p>
          <w:p w14:paraId="5D2D112B" w14:textId="2F27BB1E" w:rsidR="00F91173" w:rsidRDefault="00F91173" w:rsidP="00F91173">
            <w:pPr>
              <w:pStyle w:val="ListParagraph"/>
              <w:numPr>
                <w:ilvl w:val="0"/>
                <w:numId w:val="55"/>
              </w:numPr>
              <w:rPr>
                <w:rFonts w:ascii="Calibri" w:hAnsi="Calibri" w:cs="Calibri"/>
              </w:rPr>
            </w:pPr>
            <w:r>
              <w:rPr>
                <w:rFonts w:ascii="Calibri" w:hAnsi="Calibri" w:cs="Calibri"/>
              </w:rPr>
              <w:t>2040-2049: 223.4 million tons of CO</w:t>
            </w:r>
            <w:r>
              <w:rPr>
                <w:rFonts w:ascii="Calibri" w:hAnsi="Calibri" w:cs="Calibri"/>
                <w:vertAlign w:val="superscript"/>
              </w:rPr>
              <w:t>2</w:t>
            </w:r>
            <w:r>
              <w:rPr>
                <w:rFonts w:ascii="Calibri" w:hAnsi="Calibri" w:cs="Calibri"/>
              </w:rPr>
              <w:t xml:space="preserve"> per year.</w:t>
            </w:r>
          </w:p>
          <w:p w14:paraId="661AEEE8" w14:textId="59E430DD" w:rsidR="00F91173" w:rsidRPr="00162DF8" w:rsidRDefault="00F91173" w:rsidP="00F91173">
            <w:pPr>
              <w:pStyle w:val="ListParagraph"/>
              <w:numPr>
                <w:ilvl w:val="0"/>
                <w:numId w:val="55"/>
              </w:numPr>
              <w:rPr>
                <w:rFonts w:ascii="Calibri" w:hAnsi="Calibri" w:cs="Calibri"/>
              </w:rPr>
            </w:pPr>
            <w:r>
              <w:rPr>
                <w:rFonts w:ascii="Calibri" w:hAnsi="Calibri" w:cs="Calibri"/>
              </w:rPr>
              <w:t>2050-2059: 48.4 million tons of CO</w:t>
            </w:r>
            <w:r>
              <w:rPr>
                <w:rFonts w:ascii="Calibri" w:hAnsi="Calibri" w:cs="Calibri"/>
                <w:vertAlign w:val="superscript"/>
              </w:rPr>
              <w:t>2</w:t>
            </w:r>
            <w:r>
              <w:rPr>
                <w:rFonts w:ascii="Calibri" w:hAnsi="Calibri" w:cs="Calibri"/>
              </w:rPr>
              <w:t xml:space="preserve"> per year.</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D0A90C" w14:textId="77777777" w:rsidR="004C60FF" w:rsidRDefault="004C60FF" w:rsidP="00874E39">
      <w:r>
        <w:separator/>
      </w:r>
    </w:p>
  </w:endnote>
  <w:endnote w:type="continuationSeparator" w:id="0">
    <w:p w14:paraId="35C2647A" w14:textId="77777777" w:rsidR="004C60FF" w:rsidRDefault="004C60FF" w:rsidP="00874E39">
      <w:r>
        <w:continuationSeparator/>
      </w:r>
    </w:p>
  </w:endnote>
  <w:endnote w:type="continuationNotice" w:id="1">
    <w:p w14:paraId="68F43F4C" w14:textId="77777777" w:rsidR="004C60FF" w:rsidRDefault="004C60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276C75" w14:textId="77777777" w:rsidR="004C60FF" w:rsidRDefault="004C60FF" w:rsidP="00874E39">
      <w:r>
        <w:separator/>
      </w:r>
    </w:p>
  </w:footnote>
  <w:footnote w:type="continuationSeparator" w:id="0">
    <w:p w14:paraId="1295AE2B" w14:textId="77777777" w:rsidR="004C60FF" w:rsidRDefault="004C60FF" w:rsidP="00874E39">
      <w:r>
        <w:continuationSeparator/>
      </w:r>
    </w:p>
  </w:footnote>
  <w:footnote w:type="continuationNotice" w:id="1">
    <w:p w14:paraId="327ECB44" w14:textId="77777777" w:rsidR="004C60FF" w:rsidRDefault="004C60FF"/>
  </w:footnote>
  <w:footnote w:id="2">
    <w:p w14:paraId="5158C1F3" w14:textId="1741E644" w:rsidR="002E0CA2" w:rsidRPr="002E0CA2" w:rsidRDefault="002E0CA2">
      <w:pPr>
        <w:pStyle w:val="FootnoteText"/>
        <w:rPr>
          <w:lang w:val="en-US"/>
        </w:rPr>
      </w:pPr>
      <w:r>
        <w:rPr>
          <w:rStyle w:val="FootnoteReference"/>
        </w:rPr>
        <w:footnoteRef/>
      </w:r>
      <w:r>
        <w:t xml:space="preserve"> </w:t>
      </w:r>
      <w:r>
        <w:rPr>
          <w:lang w:val="en-US"/>
        </w:rPr>
        <w:t>Article 12 of MEMR Reg. 10/2025.</w:t>
      </w:r>
    </w:p>
  </w:footnote>
  <w:footnote w:id="3">
    <w:p w14:paraId="62488109" w14:textId="15E59C3F" w:rsidR="002E0CA2" w:rsidRPr="002E0CA2" w:rsidRDefault="002E0CA2">
      <w:pPr>
        <w:pStyle w:val="FootnoteText"/>
        <w:rPr>
          <w:lang w:val="en-US"/>
        </w:rPr>
      </w:pPr>
      <w:r>
        <w:rPr>
          <w:rStyle w:val="FootnoteReference"/>
        </w:rPr>
        <w:footnoteRef/>
      </w:r>
      <w:r>
        <w:t xml:space="preserve"> </w:t>
      </w:r>
      <w:r>
        <w:rPr>
          <w:lang w:val="en-US"/>
        </w:rPr>
        <w:t>Article 15 of MEMR Reg. 10/2025.</w:t>
      </w:r>
    </w:p>
  </w:footnote>
  <w:footnote w:id="4">
    <w:p w14:paraId="23C037BA" w14:textId="388D9980" w:rsidR="002E0CA2" w:rsidRPr="002E0CA2" w:rsidRDefault="002E0CA2">
      <w:pPr>
        <w:pStyle w:val="FootnoteText"/>
        <w:rPr>
          <w:lang w:val="en-US"/>
        </w:rPr>
      </w:pPr>
      <w:r>
        <w:rPr>
          <w:rStyle w:val="FootnoteReference"/>
        </w:rPr>
        <w:footnoteRef/>
      </w:r>
      <w:r>
        <w:t xml:space="preserve"> </w:t>
      </w:r>
      <w:r>
        <w:rPr>
          <w:lang w:val="en-US"/>
        </w:rPr>
        <w:t>Article 14 and 17 of MEMR Reg. 10/2025.</w:t>
      </w:r>
    </w:p>
  </w:footnote>
  <w:footnote w:id="5">
    <w:p w14:paraId="5A93D5CF" w14:textId="60400500" w:rsidR="0084488A" w:rsidRPr="0084488A" w:rsidRDefault="0084488A">
      <w:pPr>
        <w:pStyle w:val="FootnoteText"/>
        <w:rPr>
          <w:lang w:val="en-US"/>
        </w:rPr>
      </w:pPr>
      <w:r>
        <w:rPr>
          <w:rStyle w:val="FootnoteReference"/>
        </w:rPr>
        <w:footnoteRef/>
      </w:r>
      <w:r>
        <w:t xml:space="preserve"> </w:t>
      </w:r>
      <w:r>
        <w:rPr>
          <w:lang w:val="en-US"/>
        </w:rPr>
        <w:t>Article 12 &amp; 15 of MEMR 10/2025.</w:t>
      </w:r>
    </w:p>
  </w:footnote>
  <w:footnote w:id="6">
    <w:p w14:paraId="4848F69F" w14:textId="577587AE" w:rsidR="0084488A" w:rsidRPr="0084488A" w:rsidRDefault="0084488A">
      <w:pPr>
        <w:pStyle w:val="FootnoteText"/>
        <w:rPr>
          <w:lang w:val="en-US"/>
        </w:rPr>
      </w:pPr>
      <w:r>
        <w:rPr>
          <w:rStyle w:val="FootnoteReference"/>
        </w:rPr>
        <w:footnoteRef/>
      </w:r>
      <w:r>
        <w:t xml:space="preserve"> </w:t>
      </w:r>
      <w:r>
        <w:rPr>
          <w:lang w:val="en-US"/>
        </w:rPr>
        <w:t>Article 15(2) of MEMR 10/2025.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E32B19"/>
    <w:multiLevelType w:val="hybridMultilevel"/>
    <w:tmpl w:val="C0C251B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74A7C01"/>
    <w:multiLevelType w:val="hybridMultilevel"/>
    <w:tmpl w:val="6744FCF6"/>
    <w:lvl w:ilvl="0" w:tplc="ED8C96D8">
      <w:start w:val="1"/>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ED3553"/>
    <w:multiLevelType w:val="hybridMultilevel"/>
    <w:tmpl w:val="F5AC6A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0643A1"/>
    <w:multiLevelType w:val="hybridMultilevel"/>
    <w:tmpl w:val="FDA8C1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BC044A9"/>
    <w:multiLevelType w:val="hybridMultilevel"/>
    <w:tmpl w:val="47561B9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3" w15:restartNumberingAfterBreak="0">
    <w:nsid w:val="7E55650B"/>
    <w:multiLevelType w:val="hybridMultilevel"/>
    <w:tmpl w:val="5EAECA5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F7624F5"/>
    <w:multiLevelType w:val="hybridMultilevel"/>
    <w:tmpl w:val="256ADE0A"/>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680666882">
    <w:abstractNumId w:val="18"/>
  </w:num>
  <w:num w:numId="2" w16cid:durableId="482308869">
    <w:abstractNumId w:val="26"/>
  </w:num>
  <w:num w:numId="3" w16cid:durableId="690952733">
    <w:abstractNumId w:val="46"/>
  </w:num>
  <w:num w:numId="4" w16cid:durableId="1689330127">
    <w:abstractNumId w:val="1"/>
  </w:num>
  <w:num w:numId="5" w16cid:durableId="401291788">
    <w:abstractNumId w:val="32"/>
  </w:num>
  <w:num w:numId="6" w16cid:durableId="1276788690">
    <w:abstractNumId w:val="15"/>
  </w:num>
  <w:num w:numId="7" w16cid:durableId="566767730">
    <w:abstractNumId w:val="22"/>
  </w:num>
  <w:num w:numId="8" w16cid:durableId="1780710843">
    <w:abstractNumId w:val="39"/>
  </w:num>
  <w:num w:numId="9" w16cid:durableId="1685783054">
    <w:abstractNumId w:val="4"/>
  </w:num>
  <w:num w:numId="10" w16cid:durableId="950551298">
    <w:abstractNumId w:val="36"/>
  </w:num>
  <w:num w:numId="11" w16cid:durableId="1591960799">
    <w:abstractNumId w:val="52"/>
  </w:num>
  <w:num w:numId="12" w16cid:durableId="1344891410">
    <w:abstractNumId w:val="10"/>
  </w:num>
  <w:num w:numId="13" w16cid:durableId="2023899324">
    <w:abstractNumId w:val="12"/>
  </w:num>
  <w:num w:numId="14" w16cid:durableId="430587014">
    <w:abstractNumId w:val="8"/>
  </w:num>
  <w:num w:numId="15" w16cid:durableId="1742869061">
    <w:abstractNumId w:val="35"/>
  </w:num>
  <w:num w:numId="16" w16cid:durableId="1996450437">
    <w:abstractNumId w:val="21"/>
  </w:num>
  <w:num w:numId="17" w16cid:durableId="1529031027">
    <w:abstractNumId w:val="9"/>
  </w:num>
  <w:num w:numId="18" w16cid:durableId="568614617">
    <w:abstractNumId w:val="19"/>
  </w:num>
  <w:num w:numId="19" w16cid:durableId="1530605858">
    <w:abstractNumId w:val="47"/>
  </w:num>
  <w:num w:numId="20" w16cid:durableId="1328172586">
    <w:abstractNumId w:val="17"/>
  </w:num>
  <w:num w:numId="21" w16cid:durableId="184827816">
    <w:abstractNumId w:val="31"/>
  </w:num>
  <w:num w:numId="22" w16cid:durableId="1785346599">
    <w:abstractNumId w:val="38"/>
  </w:num>
  <w:num w:numId="23" w16cid:durableId="1294288901">
    <w:abstractNumId w:val="29"/>
  </w:num>
  <w:num w:numId="24" w16cid:durableId="1603957975">
    <w:abstractNumId w:val="49"/>
  </w:num>
  <w:num w:numId="25" w16cid:durableId="1659531047">
    <w:abstractNumId w:val="48"/>
  </w:num>
  <w:num w:numId="26" w16cid:durableId="752774403">
    <w:abstractNumId w:val="25"/>
  </w:num>
  <w:num w:numId="27" w16cid:durableId="347872198">
    <w:abstractNumId w:val="7"/>
  </w:num>
  <w:num w:numId="28" w16cid:durableId="537133110">
    <w:abstractNumId w:val="13"/>
  </w:num>
  <w:num w:numId="29" w16cid:durableId="1632318729">
    <w:abstractNumId w:val="50"/>
  </w:num>
  <w:num w:numId="30" w16cid:durableId="1268124074">
    <w:abstractNumId w:val="37"/>
  </w:num>
  <w:num w:numId="31" w16cid:durableId="887108748">
    <w:abstractNumId w:val="33"/>
  </w:num>
  <w:num w:numId="32" w16cid:durableId="1826125712">
    <w:abstractNumId w:val="40"/>
  </w:num>
  <w:num w:numId="33" w16cid:durableId="823357978">
    <w:abstractNumId w:val="44"/>
  </w:num>
  <w:num w:numId="34" w16cid:durableId="1092120443">
    <w:abstractNumId w:val="43"/>
  </w:num>
  <w:num w:numId="35" w16cid:durableId="124861188">
    <w:abstractNumId w:val="11"/>
  </w:num>
  <w:num w:numId="36" w16cid:durableId="1952588250">
    <w:abstractNumId w:val="42"/>
  </w:num>
  <w:num w:numId="37" w16cid:durableId="1712027211">
    <w:abstractNumId w:val="5"/>
  </w:num>
  <w:num w:numId="38" w16cid:durableId="2033795929">
    <w:abstractNumId w:val="2"/>
  </w:num>
  <w:num w:numId="39" w16cid:durableId="1238595582">
    <w:abstractNumId w:val="27"/>
  </w:num>
  <w:num w:numId="40" w16cid:durableId="416558262">
    <w:abstractNumId w:val="24"/>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5"/>
  </w:num>
  <w:num w:numId="46" w16cid:durableId="947811845">
    <w:abstractNumId w:val="51"/>
  </w:num>
  <w:num w:numId="47" w16cid:durableId="342588554">
    <w:abstractNumId w:val="28"/>
  </w:num>
  <w:num w:numId="48" w16cid:durableId="318391343">
    <w:abstractNumId w:val="41"/>
  </w:num>
  <w:num w:numId="49" w16cid:durableId="1029335229">
    <w:abstractNumId w:val="3"/>
  </w:num>
  <w:num w:numId="50" w16cid:durableId="546111653">
    <w:abstractNumId w:val="23"/>
  </w:num>
  <w:num w:numId="51" w16cid:durableId="1744913438">
    <w:abstractNumId w:val="30"/>
  </w:num>
  <w:num w:numId="52" w16cid:durableId="259266712">
    <w:abstractNumId w:val="34"/>
  </w:num>
  <w:num w:numId="53" w16cid:durableId="1613322380">
    <w:abstractNumId w:val="53"/>
  </w:num>
  <w:num w:numId="54" w16cid:durableId="1447698840">
    <w:abstractNumId w:val="54"/>
  </w:num>
  <w:num w:numId="55" w16cid:durableId="801919324">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7B7"/>
    <w:rsid w:val="000449A7"/>
    <w:rsid w:val="000463AE"/>
    <w:rsid w:val="00046B6B"/>
    <w:rsid w:val="00047A6C"/>
    <w:rsid w:val="00047A9C"/>
    <w:rsid w:val="00050BDF"/>
    <w:rsid w:val="000526BB"/>
    <w:rsid w:val="00052CA3"/>
    <w:rsid w:val="00053B76"/>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9D3"/>
    <w:rsid w:val="000B37B0"/>
    <w:rsid w:val="000B3F66"/>
    <w:rsid w:val="000B3F68"/>
    <w:rsid w:val="000B4374"/>
    <w:rsid w:val="000B719B"/>
    <w:rsid w:val="000C0665"/>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2DF8"/>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861"/>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A0D"/>
    <w:rsid w:val="001B21BE"/>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1F7283"/>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E55"/>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CA2"/>
    <w:rsid w:val="002E1A9D"/>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02C"/>
    <w:rsid w:val="0031143A"/>
    <w:rsid w:val="00311F1B"/>
    <w:rsid w:val="00313275"/>
    <w:rsid w:val="00313E83"/>
    <w:rsid w:val="003175A1"/>
    <w:rsid w:val="003218C6"/>
    <w:rsid w:val="00322783"/>
    <w:rsid w:val="00322BCF"/>
    <w:rsid w:val="003243E3"/>
    <w:rsid w:val="00324698"/>
    <w:rsid w:val="00325558"/>
    <w:rsid w:val="00325771"/>
    <w:rsid w:val="00325E0E"/>
    <w:rsid w:val="0032643A"/>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59B"/>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947"/>
    <w:rsid w:val="003B5B6C"/>
    <w:rsid w:val="003B66F6"/>
    <w:rsid w:val="003B738B"/>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511"/>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DB8"/>
    <w:rsid w:val="004419AC"/>
    <w:rsid w:val="00443991"/>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C13"/>
    <w:rsid w:val="004C20B7"/>
    <w:rsid w:val="004C3866"/>
    <w:rsid w:val="004C3A52"/>
    <w:rsid w:val="004C60FF"/>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87C"/>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BEF"/>
    <w:rsid w:val="00586A0A"/>
    <w:rsid w:val="005870D5"/>
    <w:rsid w:val="00587FAE"/>
    <w:rsid w:val="005900AD"/>
    <w:rsid w:val="005923CF"/>
    <w:rsid w:val="00592727"/>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4A4"/>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12B"/>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CB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5A74"/>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5D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62B"/>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F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88A"/>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9B"/>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1C"/>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3FDB"/>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928"/>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228"/>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692F"/>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366"/>
    <w:rsid w:val="00B22535"/>
    <w:rsid w:val="00B2441D"/>
    <w:rsid w:val="00B24E10"/>
    <w:rsid w:val="00B25E7E"/>
    <w:rsid w:val="00B2670C"/>
    <w:rsid w:val="00B26AFF"/>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734"/>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9C"/>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48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189"/>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0C85"/>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663"/>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20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46F"/>
    <w:rsid w:val="00F86AAC"/>
    <w:rsid w:val="00F86D14"/>
    <w:rsid w:val="00F87716"/>
    <w:rsid w:val="00F87E26"/>
    <w:rsid w:val="00F909A2"/>
    <w:rsid w:val="00F90B02"/>
    <w:rsid w:val="00F91173"/>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2E0CA2"/>
    <w:pPr>
      <w:spacing w:before="0" w:after="0"/>
    </w:pPr>
    <w:rPr>
      <w:sz w:val="20"/>
      <w:szCs w:val="20"/>
    </w:rPr>
  </w:style>
  <w:style w:type="character" w:customStyle="1" w:styleId="FootnoteTextChar">
    <w:name w:val="Footnote Text Char"/>
    <w:basedOn w:val="DefaultParagraphFont"/>
    <w:link w:val="FootnoteText"/>
    <w:uiPriority w:val="99"/>
    <w:semiHidden/>
    <w:rsid w:val="002E0CA2"/>
    <w:rPr>
      <w:sz w:val="20"/>
      <w:szCs w:val="20"/>
    </w:rPr>
  </w:style>
  <w:style w:type="character" w:styleId="FootnoteReference">
    <w:name w:val="footnote reference"/>
    <w:basedOn w:val="DefaultParagraphFont"/>
    <w:uiPriority w:val="99"/>
    <w:semiHidden/>
    <w:unhideWhenUsed/>
    <w:rsid w:val="002E0CA2"/>
    <w:rPr>
      <w:vertAlign w:val="superscript"/>
    </w:rPr>
  </w:style>
  <w:style w:type="character" w:styleId="PlaceholderText">
    <w:name w:val="Placeholder Text"/>
    <w:basedOn w:val="DefaultParagraphFont"/>
    <w:uiPriority w:val="99"/>
    <w:semiHidden/>
    <w:rsid w:val="00B22366"/>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listrikindonesia.com/detail/16353/sah-menteri-esdm-teken-pensiun-dini-pltu-cirebon-i"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5123540/https://peraturan.bpk.go.id/Details/317729/permen-esdm-no-10-tahun-20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purl.org/dc/elements/1.1/"/>
    <ds:schemaRef ds:uri="http://www.w3.org/XML/1998/namespace"/>
    <ds:schemaRef ds:uri="http://schemas.microsoft.com/office/2006/documentManagement/types"/>
    <ds:schemaRef ds:uri="http://schemas.openxmlformats.org/package/2006/metadata/core-properties"/>
    <ds:schemaRef ds:uri="http://schemas.microsoft.com/office/infopath/2007/PartnerControls"/>
    <ds:schemaRef ds:uri="http://purl.org/dc/terms/"/>
    <ds:schemaRef ds:uri="f3ae4679-24f8-43cb-880e-0de6e561589c"/>
    <ds:schemaRef ds:uri="http://purl.org/dc/dcmitype/"/>
    <ds:schemaRef ds:uri="a84edb6d-cf86-4b2b-8a62-38e962ed6fbe"/>
    <ds:schemaRef ds:uri="http://schemas.microsoft.com/office/2006/metadata/properties"/>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114</Pages>
  <Words>23078</Words>
  <Characters>131547</Characters>
  <Application>Microsoft Office Word</Application>
  <DocSecurity>0</DocSecurity>
  <Lines>1096</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13</cp:revision>
  <cp:lastPrinted>2025-03-21T00:14:00Z</cp:lastPrinted>
  <dcterms:created xsi:type="dcterms:W3CDTF">2025-07-07T02:15:00Z</dcterms:created>
  <dcterms:modified xsi:type="dcterms:W3CDTF">2025-08-13T11:18:00Z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